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;DejaVu Sans" w:cs="Times New Roman"/>
          <w:b/>
          <w:b/>
          <w:bCs/>
          <w:i w:val="false"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</w:pP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>ИНФОРМАЦИЯ</w:t>
      </w:r>
    </w:p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bidi w:val="0"/>
        <w:spacing w:lineRule="auto" w:line="240"/>
        <w:ind w:left="0" w:right="0" w:firstLine="680"/>
        <w:jc w:val="center"/>
        <w:rPr>
          <w:rFonts w:ascii="Times New Roman" w:hAnsi="Times New Roman" w:eastAsia="Calibri;DejaVu Sans" w:cs="Times New Roman"/>
          <w:b/>
          <w:b/>
          <w:bCs/>
          <w:i w:val="false"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</w:pP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>о предоставлении инвалидам по зрению</w:t>
      </w:r>
    </w:p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bidi w:val="0"/>
        <w:spacing w:lineRule="auto" w:line="240"/>
        <w:ind w:left="0" w:right="0" w:firstLine="680"/>
        <w:jc w:val="center"/>
        <w:rPr>
          <w:rFonts w:ascii="Times New Roman" w:hAnsi="Times New Roman" w:eastAsia="Calibri;DejaVu Sans" w:cs="Times New Roman"/>
          <w:b/>
          <w:b/>
          <w:bCs/>
          <w:i w:val="false"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</w:pP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 xml:space="preserve">компенсации расходов, понесенных </w:t>
      </w:r>
    </w:p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bidi w:val="0"/>
        <w:spacing w:lineRule="auto" w:line="240"/>
        <w:ind w:left="0" w:right="0" w:firstLine="680"/>
        <w:jc w:val="center"/>
        <w:rPr/>
      </w:pP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 xml:space="preserve">в случае приобретения телефона с функцией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en-US" w:eastAsia="en-US" w:bidi="ru-RU"/>
        </w:rPr>
        <w:t xml:space="preserve">NFC, </w:t>
      </w:r>
    </w:p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bidi w:val="0"/>
        <w:spacing w:lineRule="auto" w:line="240"/>
        <w:ind w:left="0" w:right="0" w:firstLine="680"/>
        <w:jc w:val="center"/>
        <w:rPr/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en-US" w:eastAsia="en-US" w:bidi="ru-RU"/>
        </w:rPr>
        <w:t xml:space="preserve">доплаты к компенсации на </w:t>
      </w: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 xml:space="preserve">содержание </w:t>
      </w:r>
    </w:p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bidi w:val="0"/>
        <w:spacing w:lineRule="auto" w:line="240"/>
        <w:ind w:left="0" w:right="0" w:firstLine="680"/>
        <w:jc w:val="center"/>
        <w:rPr>
          <w:rFonts w:ascii="Times New Roman" w:hAnsi="Times New Roman" w:eastAsia="Calibri;DejaVu Sans" w:cs="Times New Roman"/>
          <w:b/>
          <w:b/>
          <w:bCs/>
          <w:i w:val="false"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</w:pPr>
      <w:r>
        <w:rPr>
          <w:rFonts w:eastAsia="Calibri;DejaVu Sans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  <w:t>собаки-проводника</w:t>
      </w:r>
    </w:p>
    <w:p>
      <w:pPr>
        <w:pStyle w:val="Normal"/>
        <w:widowControl/>
        <w:tabs>
          <w:tab w:val="clear" w:pos="306"/>
          <w:tab w:val="left" w:pos="615" w:leader="none"/>
          <w:tab w:val="left" w:pos="709" w:leader="none"/>
          <w:tab w:val="left" w:pos="1080" w:leader="none"/>
        </w:tabs>
        <w:suppressAutoHyphens w:val="true"/>
        <w:bidi w:val="0"/>
        <w:spacing w:lineRule="auto" w:line="240"/>
        <w:ind w:left="0" w:right="0" w:firstLine="680"/>
        <w:jc w:val="center"/>
        <w:rPr>
          <w:rFonts w:ascii="Times New Roman" w:hAnsi="Times New Roman" w:eastAsia="Calibri;DejaVu Sans" w:cs="Times New Roman"/>
          <w:bCs/>
          <w:i w:val="false"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</w:pPr>
      <w:r>
        <w:rPr>
          <w:rFonts w:eastAsia="Calibri;DejaVu Sans" w:cs="Times New Roman" w:ascii="Times New Roman" w:hAnsi="Times New Roman"/>
          <w:bCs/>
          <w:i w:val="false"/>
          <w:iCs w:val="false"/>
          <w:color w:val="auto"/>
          <w:kern w:val="2"/>
          <w:sz w:val="28"/>
          <w:szCs w:val="28"/>
          <w:lang w:val="en-US" w:eastAsia="en-US" w:bidi="ru-RU"/>
        </w:rPr>
      </w:r>
    </w:p>
    <w:p>
      <w:pPr>
        <w:pStyle w:val="Normal"/>
        <w:keepNext w:val="true"/>
        <w:widowControl w:val="false"/>
        <w:tabs>
          <w:tab w:val="clear" w:pos="306"/>
          <w:tab w:val="left" w:pos="0" w:leader="none"/>
          <w:tab w:val="left" w:pos="709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1. Перечень нормативных </w:t>
      </w:r>
      <w:r>
        <w:rPr>
          <w:rFonts w:eastAsia="Source Han Sans CN Regular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ru-RU" w:bidi="ru-RU"/>
        </w:rPr>
        <w:t>правовых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актов:</w:t>
      </w:r>
    </w:p>
    <w:p>
      <w:pPr>
        <w:pStyle w:val="Normal"/>
        <w:widowControl w:val="false"/>
        <w:tabs>
          <w:tab w:val="clear" w:pos="306"/>
          <w:tab w:val="left" w:pos="0" w:leader="none"/>
          <w:tab w:val="left" w:pos="709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Закон Приморского края от </w:t>
      </w:r>
      <w:r>
        <w:rPr>
          <w:rFonts w:eastAsia="Source Han Sans CN Regular" w:cs="Times New Roman" w:ascii="Times New Roman" w:hAnsi="Times New Roman"/>
          <w:bCs/>
          <w:color w:val="auto"/>
          <w:kern w:val="2"/>
          <w:sz w:val="28"/>
          <w:szCs w:val="28"/>
          <w:lang w:val="ru-RU" w:eastAsia="ru-RU" w:bidi="ru-RU"/>
        </w:rPr>
        <w:t>02.06.2022</w:t>
      </w:r>
      <w:r>
        <w:rPr>
          <w:rFonts w:cs="Times New Roman" w:ascii="Times New Roman" w:hAnsi="Times New Roman"/>
          <w:bCs/>
          <w:sz w:val="28"/>
          <w:szCs w:val="28"/>
        </w:rPr>
        <w:t xml:space="preserve"> № 120-КЗ «О предоставлении дополнительных мер социальной </w:t>
      </w:r>
      <w:r>
        <w:rPr>
          <w:rFonts w:eastAsia="Calibri" w:cs="Times New Roman" w:ascii="Times New Roman" w:hAnsi="Times New Roman"/>
          <w:b w:val="false"/>
          <w:bCs/>
          <w:color w:val="000000"/>
          <w:spacing w:val="2"/>
          <w:kern w:val="2"/>
          <w:sz w:val="28"/>
          <w:szCs w:val="28"/>
          <w:lang w:val="ru-RU" w:eastAsia="en-US" w:bidi="ru-RU"/>
        </w:rPr>
        <w:t>поддержки</w:t>
      </w:r>
      <w:r>
        <w:rPr>
          <w:rFonts w:cs="Times New Roman" w:ascii="Times New Roman" w:hAnsi="Times New Roman"/>
          <w:bCs/>
          <w:sz w:val="28"/>
          <w:szCs w:val="28"/>
        </w:rPr>
        <w:t xml:space="preserve"> отдельным категориям инвалидов (детей-инвалидов) по приспособлению жилых помещений у учетом их потребностей и созданию условий индивидуальной мобильности»;</w:t>
      </w:r>
    </w:p>
    <w:p>
      <w:pPr>
        <w:pStyle w:val="Normal"/>
        <w:widowControl w:val="false"/>
        <w:tabs>
          <w:tab w:val="clear" w:pos="306"/>
          <w:tab w:val="left" w:pos="0" w:leader="none"/>
          <w:tab w:val="left" w:pos="709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Правительства Приморского края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2"/>
          <w:sz w:val="28"/>
          <w:szCs w:val="28"/>
        </w:rPr>
        <w:t>от 08.07.2022 № 476-пп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8"/>
          <w:szCs w:val="28"/>
        </w:rPr>
        <w:t xml:space="preserve"> «</w:t>
      </w:r>
      <w:r>
        <w:rPr>
          <w:rFonts w:eastAsia="Calibri;DejaVu Sans" w:cs="Times New Roman" w:ascii="Times New Roman" w:hAnsi="Times New Roman"/>
          <w:b w:val="false"/>
          <w:bCs/>
          <w:color w:val="000000"/>
          <w:spacing w:val="2"/>
          <w:sz w:val="28"/>
          <w:szCs w:val="28"/>
          <w:lang w:eastAsia="en-US"/>
        </w:rPr>
        <w:t xml:space="preserve">Об утверждении Порядка </w:t>
      </w:r>
      <w:r>
        <w:rPr>
          <w:rFonts w:eastAsia="Calibri" w:cs="Times New Roman" w:ascii="Times New Roman" w:hAnsi="Times New Roman"/>
          <w:b w:val="false"/>
          <w:bCs/>
          <w:color w:val="000000"/>
          <w:spacing w:val="2"/>
          <w:sz w:val="28"/>
          <w:szCs w:val="28"/>
          <w:lang w:eastAsia="en-US"/>
        </w:rPr>
        <w:t xml:space="preserve"> предоставления дополнительных мер социальной поддержки отдельным категориям инвалидов (детей-инвалидов) по созданию условий индивидуальной мобильности</w:t>
      </w:r>
      <w:r>
        <w:rPr>
          <w:rFonts w:cs="Times New Roman" w:ascii="Times New Roman" w:hAnsi="Times New Roman"/>
          <w:b w:val="false"/>
          <w:bCs w:val="false"/>
          <w:color w:val="000000"/>
          <w:spacing w:val="2"/>
          <w:sz w:val="28"/>
          <w:szCs w:val="28"/>
        </w:rPr>
        <w:t>»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widowControl w:val="false"/>
        <w:tabs>
          <w:tab w:val="clear" w:pos="306"/>
          <w:tab w:val="left" w:pos="0" w:leader="none"/>
          <w:tab w:val="left" w:pos="993" w:leader="none"/>
        </w:tabs>
        <w:bidi w:val="0"/>
        <w:spacing w:lineRule="auto" w:line="276"/>
        <w:ind w:left="0" w:right="0" w:firstLine="709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ab/>
      </w:r>
    </w:p>
    <w:p>
      <w:pPr>
        <w:pStyle w:val="Normal"/>
        <w:widowControl w:val="false"/>
        <w:tabs>
          <w:tab w:val="clear" w:pos="306"/>
          <w:tab w:val="left" w:pos="0" w:leader="none"/>
          <w:tab w:val="left" w:pos="993" w:leader="none"/>
        </w:tabs>
        <w:bidi w:val="0"/>
        <w:spacing w:lineRule="auto" w:line="276"/>
        <w:ind w:left="0" w:right="0" w:firstLine="709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2. Перечень документов, необходимых для компенсации за телефон:</w:t>
      </w:r>
    </w:p>
    <w:p>
      <w:pPr>
        <w:pStyle w:val="ConsPlusNormal"/>
        <w:bidi w:val="0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Паспорт (свидетельство о рождении ребенка в случае обращения уполномоченного представителя в интересах ребенка-инвалида);</w:t>
      </w:r>
    </w:p>
    <w:p>
      <w:pPr>
        <w:pStyle w:val="ConsPlusNormal"/>
        <w:bidi w:val="0"/>
        <w:spacing w:lineRule="auto" w:line="276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С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правка МСЭ об инвалидности;</w:t>
      </w:r>
    </w:p>
    <w:p>
      <w:pPr>
        <w:pStyle w:val="ConsPlusNormal"/>
        <w:bidi w:val="0"/>
        <w:spacing w:lineRule="auto" w:line="276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ИПРА;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ru-RU" w:bidi="ru-RU"/>
        </w:rPr>
        <w:t>Ч</w:t>
      </w:r>
      <w:r>
        <w:rPr>
          <w:rFonts w:eastAsia="Times New Roman" w:cs="Times New Roman" w:ascii="Times New Roman" w:hAnsi="Times New Roman"/>
          <w:szCs w:val="28"/>
        </w:rPr>
        <w:t xml:space="preserve">ек и товарный чек с указанием стоимости и модели телефона, печатью и подписью продавца; </w:t>
      </w:r>
    </w:p>
    <w:p>
      <w:pPr>
        <w:pStyle w:val="ConsPlusNormal"/>
        <w:bidi w:val="0"/>
        <w:spacing w:lineRule="auto" w:line="276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Г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арантийный талон, скрепленный печатью и заверенный подписью продавца, с указанием сведения о наименовании товара, его серийного номера, даты продажи, наименования и адреса продавца,  фамилии, имени и отчества инвалида;</w:t>
      </w:r>
    </w:p>
    <w:p>
      <w:pPr>
        <w:pStyle w:val="ConsPlusNormal"/>
        <w:bidi w:val="0"/>
        <w:spacing w:lineRule="auto" w:line="276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Р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уководство пользователя мобильного телефона (инструкция по эксплуатации),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в котором содержится информация о наличии в мобильном телефоне встроенного модуля NFC.</w:t>
      </w:r>
    </w:p>
    <w:p>
      <w:pPr>
        <w:pStyle w:val="Normal"/>
        <w:widowControl w:val="false"/>
        <w:tabs>
          <w:tab w:val="clear" w:pos="306"/>
          <w:tab w:val="left" w:pos="0" w:leader="none"/>
        </w:tabs>
        <w:bidi w:val="0"/>
        <w:spacing w:lineRule="auto" w:line="276" w:before="0" w:after="0"/>
        <w:ind w:left="0" w:right="0" w:firstLine="709"/>
        <w:jc w:val="both"/>
        <w:rPr/>
      </w:pPr>
      <w:r>
        <w:rPr/>
      </w:r>
    </w:p>
    <w:p>
      <w:pPr>
        <w:pStyle w:val="Normal"/>
        <w:widowControl w:val="false"/>
        <w:tabs>
          <w:tab w:val="clear" w:pos="306"/>
          <w:tab w:val="left" w:pos="0" w:leader="none"/>
        </w:tabs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3. Перечень документов, необходимых для доплаты к компенсации  на содержание собаки-проводника:</w:t>
      </w:r>
    </w:p>
    <w:p>
      <w:pPr>
        <w:pStyle w:val="ConsPlusNormal"/>
        <w:bidi w:val="0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Паспорт (свидетельство о рождении ребенка в случае обращения уполномоченного представителя в интересах ребенка-инвалида);</w:t>
      </w:r>
    </w:p>
    <w:p>
      <w:pPr>
        <w:pStyle w:val="ConsPlusNormal"/>
        <w:bidi w:val="0"/>
        <w:spacing w:lineRule="auto" w:line="276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С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правка МСЭ об инвалидности;</w:t>
      </w:r>
    </w:p>
    <w:p>
      <w:pPr>
        <w:pStyle w:val="ConsPlusNormal"/>
        <w:widowControl w:val="false"/>
        <w:tabs>
          <w:tab w:val="clear" w:pos="306"/>
          <w:tab w:val="left" w:pos="0" w:leader="none"/>
        </w:tabs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ИПРА.</w:t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ru-RU" w:bidi="ru-RU"/>
        </w:rPr>
      </w:r>
      <w:r>
        <w:br w:type="page"/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ru-RU" w:bidi="ru-RU"/>
        </w:rPr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ru-RU" w:bidi="ru-RU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. Порядок действий для получения компенсации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за телефон: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eastAsia="Source Han Sans CN Regular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ru-RU" w:bidi="ru-RU"/>
        </w:rPr>
        <w:t>4.1. Проверить в ИПРА наличие записи о том, что рекомендовано использование одного или нескольких вспомогательных средств (</w:t>
      </w:r>
      <w:r>
        <w:rPr>
          <w:rFonts w:eastAsia="Source Han Sans CN Regular" w:cs="Times New Roman" w:ascii="Times New Roman" w:hAnsi="Times New Roman"/>
          <w:b w:val="false"/>
          <w:i w:val="false"/>
          <w:iCs w:val="false"/>
          <w:caps w:val="false"/>
          <w:smallCaps w:val="false"/>
          <w:color w:val="22272F"/>
          <w:spacing w:val="0"/>
          <w:kern w:val="2"/>
          <w:sz w:val="28"/>
          <w:szCs w:val="28"/>
          <w:lang w:val="ru-RU" w:eastAsia="ru-RU" w:bidi="ru-RU"/>
        </w:rPr>
        <w:t xml:space="preserve">специальные устройства для чтения «говорящих книг», для оптической коррекции слабовидения;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 xml:space="preserve">собака-проводник с комплектом снаряжения; медицинские термометры и тонометры с речевым выходом; </w:t>
      </w:r>
      <w:bookmarkStart w:id="0" w:name="p_2212"/>
      <w:bookmarkEnd w:id="0"/>
      <w:r>
        <w:rPr>
          <w:rFonts w:eastAsia="Source Han Sans CN Regular" w:cs="Times New Roman" w:ascii="Times New Roman" w:hAnsi="Times New Roman"/>
          <w:b w:val="false"/>
          <w:i w:val="false"/>
          <w:caps w:val="false"/>
          <w:smallCaps w:val="false"/>
          <w:color w:val="22272F"/>
          <w:spacing w:val="0"/>
          <w:kern w:val="2"/>
          <w:sz w:val="28"/>
          <w:szCs w:val="28"/>
          <w:lang w:val="ru-RU" w:eastAsia="ru-RU" w:bidi="ru-RU"/>
        </w:rPr>
        <w:t>Брайлевский дисплей, программное обеспечение экранного доступа).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eastAsia="Source Han Sans CN Regular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ru-RU" w:bidi="ru-RU"/>
        </w:rPr>
        <w:t>4.2. Приобрести мобильный телефон любой модели по своему выбору, но обязательно с функцией бесконтактной оплаты (со встроенным модулем NFC), получив следующие документы: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ru-RU" w:bidi="ru-RU"/>
        </w:rPr>
        <w:t>ч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ек и товарный чек с указанием стоимости и модели телефона, печатью и подписью продавца; </w:t>
      </w:r>
    </w:p>
    <w:p>
      <w:pPr>
        <w:pStyle w:val="ConsPlusNormal"/>
        <w:bidi w:val="0"/>
        <w:spacing w:lineRule="auto" w:line="276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г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арантийный талон, скрепленный печатью и заверенный подписью продавца, с указанием сведения о наименовании товара, его серийного номера, даты продажи, наименования и адреса продавца,  фамилии, имени и отчества инвалида;</w:t>
      </w:r>
    </w:p>
    <w:p>
      <w:pPr>
        <w:pStyle w:val="ConsPlus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zh-CN" w:bidi="ar-SA"/>
        </w:rPr>
        <w:t>р</w:t>
      </w:r>
      <w:r>
        <w:rPr>
          <w:rFonts w:eastAsia="Source Han Sans CN Regular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ru-RU" w:bidi="ru-RU"/>
        </w:rPr>
        <w:t xml:space="preserve">уководство пользователя мобильного телефона (инструкция по эксплуатации), </w:t>
      </w:r>
      <w:r>
        <w:rPr>
          <w:rFonts w:eastAsia="Calibri" w:cs="Times New Roman" w:ascii="Times New Roman" w:hAnsi="Times New Roman"/>
          <w:color w:val="000000"/>
          <w:spacing w:val="1"/>
          <w:kern w:val="2"/>
          <w:sz w:val="28"/>
          <w:szCs w:val="28"/>
          <w:lang w:val="ru-RU" w:eastAsia="ru-RU" w:bidi="ru-RU"/>
        </w:rPr>
        <w:t>в котором содержится информация о наличии в мобильном телефоне встроенного модуля NFC.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eastAsia="Source Han Sans CN Regular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val="ru-RU" w:eastAsia="ru-RU" w:bidi="ru-RU"/>
        </w:rPr>
        <w:t>4.3. О</w:t>
      </w:r>
      <w:r>
        <w:rPr>
          <w:rFonts w:eastAsia="Source Han Sans CN Regular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kern w:val="2"/>
          <w:sz w:val="28"/>
          <w:szCs w:val="28"/>
          <w:lang w:val="ru-RU" w:eastAsia="ru-RU" w:bidi="ru-RU"/>
        </w:rPr>
        <w:t>братиться в КГКУ «Центр социальной поддержки населения» по месту жительства для подачи заявления и документов на получение компенсации</w:t>
      </w:r>
      <w:r>
        <w:rPr>
          <w:rFonts w:eastAsia="Source Han Sans CN Regular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val="ru-RU" w:eastAsia="ru-RU" w:bidi="ru-RU"/>
        </w:rPr>
        <w:t>.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>
          <w:rFonts w:ascii="Times New Roman" w:hAnsi="Times New Roman" w:eastAsia="Source Han Sans CN Regular" w:cs="Times New Roman"/>
          <w:b w:val="false"/>
          <w:b w:val="false"/>
          <w:bCs w:val="false"/>
          <w:color w:val="000000"/>
          <w:spacing w:val="1"/>
          <w:kern w:val="2"/>
          <w:sz w:val="28"/>
          <w:szCs w:val="28"/>
          <w:lang w:val="ru-RU" w:eastAsia="ru-RU" w:bidi="ru-RU"/>
        </w:rPr>
      </w:pPr>
      <w:r>
        <w:rPr>
          <w:rFonts w:eastAsia="Source Han Sans CN Regular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lang w:val="ru-RU" w:eastAsia="ru-RU" w:bidi="ru-RU"/>
        </w:rPr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ru-RU" w:eastAsia="ru-RU" w:bidi="ru-RU"/>
        </w:rPr>
        <w:t xml:space="preserve">5. Порядок действий для получения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kern w:val="2"/>
          <w:sz w:val="28"/>
          <w:szCs w:val="28"/>
          <w:lang w:val="ru-RU" w:eastAsia="ru-RU" w:bidi="ru-RU"/>
        </w:rPr>
        <w:t>дополнительной компенсации на содержание собаки-проводника: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eastAsia="Source Han Sans CN Regular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kern w:val="2"/>
          <w:sz w:val="28"/>
          <w:szCs w:val="28"/>
          <w:lang w:val="ru-RU" w:eastAsia="ru-RU" w:bidi="ru-RU"/>
        </w:rPr>
        <w:t>5.1. Получить в Приморском региональном отделении Фонда социального страхования России (далее - Фонд) по месту жительства компенсацию на содержание собаки-проводника.</w:t>
      </w:r>
    </w:p>
    <w:p>
      <w:pPr>
        <w:pStyle w:val="Normal"/>
        <w:widowControl w:val="false"/>
        <w:tabs>
          <w:tab w:val="clear" w:pos="306"/>
          <w:tab w:val="left" w:pos="993" w:leader="none"/>
        </w:tabs>
        <w:bidi w:val="0"/>
        <w:spacing w:lineRule="auto" w:line="276"/>
        <w:ind w:left="0" w:right="0" w:firstLine="709"/>
        <w:jc w:val="both"/>
        <w:rPr/>
      </w:pPr>
      <w:r>
        <w:rPr>
          <w:rFonts w:eastAsia="Source Han Sans CN Regular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kern w:val="2"/>
          <w:sz w:val="28"/>
          <w:szCs w:val="28"/>
          <w:lang w:val="ru-RU" w:eastAsia="ru-RU" w:bidi="ru-RU"/>
        </w:rPr>
        <w:t>5.2. После получения компенсации из Фонда обратиться в КГКУ «Центр социальной поддержки населения» по месту жительства для подачи заявления и предъявления документов на доплату к компенсации на содержание собаки-проводника.</w:t>
      </w:r>
    </w:p>
    <w:sectPr>
      <w:headerReference w:type="default" r:id="rId2"/>
      <w:type w:val="nextPage"/>
      <w:pgSz w:w="11906" w:h="16838"/>
      <w:pgMar w:left="1105" w:right="845" w:header="720" w:top="777" w:footer="0" w:bottom="1493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2"/>
    <w:next w:val="Style40"/>
    <w:qFormat/>
    <w:pPr>
      <w:numPr>
        <w:ilvl w:val="0"/>
        <w:numId w:val="1"/>
      </w:numPr>
      <w:spacing w:before="0" w:after="0"/>
      <w:outlineLvl w:val="0"/>
    </w:pPr>
    <w:rPr/>
  </w:style>
  <w:style w:type="paragraph" w:styleId="2">
    <w:name w:val="Heading 2"/>
    <w:basedOn w:val="Style32"/>
    <w:next w:val="Style33"/>
    <w:qFormat/>
    <w:pPr>
      <w:numPr>
        <w:ilvl w:val="1"/>
        <w:numId w:val="1"/>
      </w:numPr>
      <w:spacing w:before="0" w:after="0"/>
      <w:outlineLvl w:val="1"/>
    </w:pPr>
    <w:rPr/>
  </w:style>
  <w:style w:type="paragraph" w:styleId="3">
    <w:name w:val="Heading 3"/>
    <w:basedOn w:val="Style32"/>
    <w:next w:val="Style33"/>
    <w:qFormat/>
    <w:pPr>
      <w:numPr>
        <w:ilvl w:val="2"/>
        <w:numId w:val="1"/>
      </w:numPr>
      <w:spacing w:before="0" w:after="0"/>
      <w:outlineLvl w:val="2"/>
    </w:pPr>
    <w:rPr/>
  </w:style>
  <w:style w:type="paragraph" w:styleId="4">
    <w:name w:val="Heading 4"/>
    <w:basedOn w:val="Style32"/>
    <w:next w:val="Style33"/>
    <w:qFormat/>
    <w:pPr>
      <w:numPr>
        <w:ilvl w:val="3"/>
        <w:numId w:val="1"/>
      </w:numPr>
      <w:spacing w:before="0" w:after="0"/>
      <w:outlineLvl w:val="3"/>
    </w:pPr>
    <w:rPr/>
  </w:style>
  <w:style w:type="paragraph" w:styleId="5">
    <w:name w:val="Heading 5"/>
    <w:basedOn w:val="Style32"/>
    <w:next w:val="Style33"/>
    <w:qFormat/>
    <w:pPr>
      <w:numPr>
        <w:ilvl w:val="4"/>
        <w:numId w:val="1"/>
      </w:numPr>
      <w:spacing w:before="0" w:after="0"/>
      <w:outlineLvl w:val="4"/>
    </w:pPr>
    <w:rPr/>
  </w:style>
  <w:style w:type="paragraph" w:styleId="6">
    <w:name w:val="Heading 6"/>
    <w:basedOn w:val="Style32"/>
    <w:next w:val="Style33"/>
    <w:qFormat/>
    <w:pPr>
      <w:numPr>
        <w:ilvl w:val="5"/>
        <w:numId w:val="1"/>
      </w:numPr>
      <w:outlineLvl w:val="5"/>
    </w:pPr>
    <w:rPr/>
  </w:style>
  <w:style w:type="paragraph" w:styleId="7">
    <w:name w:val="Heading 7"/>
    <w:basedOn w:val="Style32"/>
    <w:next w:val="Style33"/>
    <w:qFormat/>
    <w:pPr>
      <w:numPr>
        <w:ilvl w:val="6"/>
        <w:numId w:val="1"/>
      </w:numPr>
      <w:spacing w:before="0" w:after="0"/>
      <w:outlineLvl w:val="6"/>
    </w:pPr>
    <w:rPr/>
  </w:style>
  <w:style w:type="paragraph" w:styleId="8">
    <w:name w:val="Heading 8"/>
    <w:basedOn w:val="Style32"/>
    <w:next w:val="Style33"/>
    <w:qFormat/>
    <w:pPr>
      <w:numPr>
        <w:ilvl w:val="7"/>
        <w:numId w:val="1"/>
      </w:numPr>
      <w:spacing w:before="0" w:after="0"/>
      <w:outlineLvl w:val="7"/>
    </w:pPr>
    <w:rPr/>
  </w:style>
  <w:style w:type="paragraph" w:styleId="9">
    <w:name w:val="Heading 9"/>
    <w:basedOn w:val="Style32"/>
    <w:next w:val="Style33"/>
    <w:qFormat/>
    <w:pPr>
      <w:numPr>
        <w:ilvl w:val="8"/>
        <w:numId w:val="1"/>
      </w:numPr>
      <w:spacing w:before="0" w:after="0"/>
      <w:outlineLvl w:val="8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;Courier New" w:hAnsi="Liberation Mono;Courier New" w:eastAsia="Liberation Mono;Courier New" w:cs="Liberation Mono;Courier New"/>
    </w:rPr>
  </w:style>
  <w:style w:type="character" w:styleId="Style26">
    <w:name w:val="Пример"/>
    <w:qFormat/>
    <w:rPr>
      <w:rFonts w:ascii="Liberation Mono;Courier New" w:hAnsi="Liberation Mono;Courier New" w:eastAsia="Liberation Mono;Courier New" w:cs="Liberation Mono;Courier New"/>
    </w:rPr>
  </w:style>
  <w:style w:type="character" w:styleId="Style27">
    <w:name w:val="Ввод пользователя"/>
    <w:qFormat/>
    <w:rPr>
      <w:rFonts w:ascii="Liberation Mono;Courier New" w:hAnsi="Liberation Mono;Courier New" w:eastAsia="Liberation Mono;Courier New" w:cs="Liberation Mono;Courier New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;Courier New" w:hAnsi="Liberation Mono;Courier New" w:eastAsia="Liberation Mono;Courier New" w:cs="Liberation Mono;Courier New"/>
    </w:rPr>
  </w:style>
  <w:style w:type="character" w:styleId="Style31">
    <w:name w:val="Цветовое выделение для Текст"/>
    <w:qFormat/>
    <w:rPr/>
  </w:style>
  <w:style w:type="character" w:styleId="11">
    <w:name w:val="Выделение1"/>
    <w:qFormat/>
    <w:rPr>
      <w:i/>
      <w:iCs/>
    </w:rPr>
  </w:style>
  <w:style w:type="paragraph" w:styleId="Style32">
    <w:name w:val="Заголовок"/>
    <w:basedOn w:val="Normal"/>
    <w:next w:val="Style40"/>
    <w:qFormat/>
    <w:pPr>
      <w:keepNext w:val="false"/>
      <w:spacing w:before="0" w:after="0"/>
      <w:jc w:val="center"/>
    </w:pPr>
    <w:rPr>
      <w:b/>
    </w:rPr>
  </w:style>
  <w:style w:type="paragraph" w:styleId="Style33">
    <w:name w:val="Body Text"/>
    <w:basedOn w:val="Normal"/>
    <w:pPr>
      <w:jc w:val="both"/>
    </w:pPr>
    <w:rPr/>
  </w:style>
  <w:style w:type="paragraph" w:styleId="Style34">
    <w:name w:val="List"/>
    <w:basedOn w:val="Style33"/>
    <w:pPr/>
    <w:rPr>
      <w:rFonts w:cs="Lohit Devanagari"/>
    </w:rPr>
  </w:style>
  <w:style w:type="paragraph" w:styleId="Style35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6">
    <w:name w:val="Указатель"/>
    <w:basedOn w:val="Normal"/>
    <w:qFormat/>
    <w:pPr>
      <w:jc w:val="left"/>
    </w:pPr>
    <w:rPr>
      <w:rFonts w:cs="Lohit Devanagari"/>
    </w:rPr>
  </w:style>
  <w:style w:type="paragraph" w:styleId="Style37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8">
    <w:name w:val="Title"/>
    <w:basedOn w:val="Normal"/>
    <w:next w:val="Style40"/>
    <w:qFormat/>
    <w:pPr>
      <w:spacing w:before="0" w:after="170"/>
    </w:pPr>
    <w:rPr>
      <w:b/>
    </w:rPr>
  </w:style>
  <w:style w:type="paragraph" w:styleId="Style39">
    <w:name w:val="Subtitle"/>
    <w:basedOn w:val="Normal"/>
    <w:next w:val="Style40"/>
    <w:qFormat/>
    <w:pPr>
      <w:spacing w:before="0" w:after="0"/>
      <w:ind w:left="709" w:right="0" w:hanging="0"/>
      <w:jc w:val="both"/>
    </w:pPr>
    <w:rPr>
      <w:b/>
    </w:rPr>
  </w:style>
  <w:style w:type="paragraph" w:styleId="Style40">
    <w:name w:val="Body Text Indent"/>
    <w:basedOn w:val="Style33"/>
    <w:pPr>
      <w:ind w:left="0" w:right="0" w:hanging="0"/>
    </w:pPr>
    <w:rPr/>
  </w:style>
  <w:style w:type="paragraph" w:styleId="Style41">
    <w:name w:val="Обратный отступ"/>
    <w:basedOn w:val="Style33"/>
    <w:qFormat/>
    <w:pPr>
      <w:tabs>
        <w:tab w:val="clear" w:pos="306"/>
        <w:tab w:val="left" w:pos="0" w:leader="none"/>
      </w:tabs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306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3"/>
    <w:qFormat/>
    <w:pPr>
      <w:tabs>
        <w:tab w:val="clear" w:pos="306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3"/>
    <w:qFormat/>
    <w:pPr>
      <w:ind w:left="0" w:right="0" w:hanging="0"/>
    </w:pPr>
    <w:rPr/>
  </w:style>
  <w:style w:type="paragraph" w:styleId="10">
    <w:name w:val="Заголовок 10"/>
    <w:basedOn w:val="Style32"/>
    <w:next w:val="Style33"/>
    <w:qFormat/>
    <w:pPr>
      <w:spacing w:before="0" w:after="0"/>
      <w:outlineLvl w:val="8"/>
    </w:pPr>
    <w:rPr/>
  </w:style>
  <w:style w:type="paragraph" w:styleId="12">
    <w:name w:val="Начало нумерованного списка 1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4"/>
    <w:qFormat/>
    <w:pPr>
      <w:spacing w:before="0" w:after="120"/>
      <w:ind w:left="1080" w:hanging="360"/>
    </w:pPr>
    <w:rPr/>
  </w:style>
  <w:style w:type="paragraph" w:styleId="13">
    <w:name w:val="Конец нумерованного списка 1"/>
    <w:basedOn w:val="Style34"/>
    <w:next w:val="ListBullet4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4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4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4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4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4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4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4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4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4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4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4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4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4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4"/>
    <w:qFormat/>
    <w:pPr>
      <w:spacing w:before="0" w:after="120"/>
      <w:ind w:left="720" w:hanging="360"/>
    </w:pPr>
    <w:rPr/>
  </w:style>
  <w:style w:type="paragraph" w:styleId="16">
    <w:name w:val="Конец маркированного списка 1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4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4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4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4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4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4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4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4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4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4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4"/>
    <w:qFormat/>
    <w:pPr>
      <w:spacing w:before="0" w:after="0"/>
      <w:ind w:left="0" w:right="0" w:hanging="0"/>
    </w:pPr>
    <w:rPr/>
  </w:style>
  <w:style w:type="paragraph" w:styleId="Style45">
    <w:name w:val="Index Heading"/>
    <w:basedOn w:val="Style32"/>
    <w:pPr>
      <w:ind w:left="0" w:right="0" w:hanging="0"/>
    </w:pPr>
    <w:rPr/>
  </w:style>
  <w:style w:type="paragraph" w:styleId="17">
    <w:name w:val="Index 1"/>
    <w:basedOn w:val="Style36"/>
    <w:pPr>
      <w:ind w:left="0" w:right="0" w:hanging="0"/>
    </w:pPr>
    <w:rPr/>
  </w:style>
  <w:style w:type="paragraph" w:styleId="26">
    <w:name w:val="Index 2"/>
    <w:basedOn w:val="Style36"/>
    <w:pPr>
      <w:ind w:left="0" w:right="0" w:hanging="0"/>
    </w:pPr>
    <w:rPr/>
  </w:style>
  <w:style w:type="paragraph" w:styleId="36">
    <w:name w:val="Index 3"/>
    <w:basedOn w:val="Style36"/>
    <w:pPr>
      <w:ind w:left="0" w:right="0" w:hanging="0"/>
    </w:pPr>
    <w:rPr/>
  </w:style>
  <w:style w:type="paragraph" w:styleId="Style46">
    <w:name w:val="Разделитель предметного указателя"/>
    <w:basedOn w:val="Style36"/>
    <w:qFormat/>
    <w:pPr>
      <w:ind w:left="0" w:right="0" w:hanging="0"/>
    </w:pPr>
    <w:rPr/>
  </w:style>
  <w:style w:type="paragraph" w:styleId="TOAHeading">
    <w:name w:val="TOA Heading"/>
    <w:basedOn w:val="Style32"/>
    <w:next w:val="18"/>
    <w:qFormat/>
    <w:pPr>
      <w:ind w:left="0" w:right="0" w:hanging="0"/>
    </w:pPr>
    <w:rPr/>
  </w:style>
  <w:style w:type="paragraph" w:styleId="18">
    <w:name w:val="TOC 1"/>
    <w:basedOn w:val="Style36"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27">
    <w:name w:val="TOC 2"/>
    <w:basedOn w:val="Style36"/>
    <w:pPr>
      <w:tabs>
        <w:tab w:val="clear" w:pos="306"/>
        <w:tab w:val="right" w:pos="9355" w:leader="dot"/>
      </w:tabs>
      <w:ind w:left="0" w:right="0" w:hanging="0"/>
    </w:pPr>
    <w:rPr/>
  </w:style>
  <w:style w:type="paragraph" w:styleId="37">
    <w:name w:val="TOC 3"/>
    <w:basedOn w:val="Style36"/>
    <w:pPr>
      <w:tabs>
        <w:tab w:val="clear" w:pos="306"/>
        <w:tab w:val="right" w:pos="9072" w:leader="dot"/>
      </w:tabs>
      <w:ind w:left="0" w:right="0" w:hanging="0"/>
    </w:pPr>
    <w:rPr/>
  </w:style>
  <w:style w:type="paragraph" w:styleId="46">
    <w:name w:val="TOC 4"/>
    <w:basedOn w:val="Style36"/>
    <w:pPr>
      <w:tabs>
        <w:tab w:val="clear" w:pos="306"/>
        <w:tab w:val="right" w:pos="8789" w:leader="dot"/>
      </w:tabs>
      <w:ind w:left="0" w:right="0" w:hanging="0"/>
    </w:pPr>
    <w:rPr/>
  </w:style>
  <w:style w:type="paragraph" w:styleId="56">
    <w:name w:val="TOC 5"/>
    <w:basedOn w:val="Style36"/>
    <w:pPr>
      <w:tabs>
        <w:tab w:val="clear" w:pos="306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2"/>
    <w:qFormat/>
    <w:pPr/>
    <w:rPr/>
  </w:style>
  <w:style w:type="paragraph" w:styleId="19">
    <w:name w:val="Указатель пользователя 1"/>
    <w:basedOn w:val="Style36"/>
    <w:qFormat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6"/>
    <w:qFormat/>
    <w:pPr>
      <w:tabs>
        <w:tab w:val="clear" w:pos="306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6"/>
    <w:qFormat/>
    <w:pPr>
      <w:tabs>
        <w:tab w:val="clear" w:pos="306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6"/>
    <w:qFormat/>
    <w:pPr>
      <w:tabs>
        <w:tab w:val="clear" w:pos="306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6"/>
    <w:qFormat/>
    <w:pPr>
      <w:tabs>
        <w:tab w:val="clear" w:pos="306"/>
        <w:tab w:val="right" w:pos="8506" w:leader="dot"/>
      </w:tabs>
      <w:ind w:left="0" w:right="0" w:hanging="0"/>
    </w:pPr>
    <w:rPr/>
  </w:style>
  <w:style w:type="paragraph" w:styleId="61">
    <w:name w:val="TOC 6"/>
    <w:basedOn w:val="Style36"/>
    <w:pPr>
      <w:tabs>
        <w:tab w:val="clear" w:pos="306"/>
        <w:tab w:val="right" w:pos="8223" w:leader="dot"/>
      </w:tabs>
      <w:ind w:left="0" w:right="0" w:hanging="0"/>
    </w:pPr>
    <w:rPr/>
  </w:style>
  <w:style w:type="paragraph" w:styleId="71">
    <w:name w:val="TOC 7"/>
    <w:basedOn w:val="Style36"/>
    <w:pPr>
      <w:tabs>
        <w:tab w:val="clear" w:pos="306"/>
        <w:tab w:val="right" w:pos="7940" w:leader="dot"/>
      </w:tabs>
      <w:ind w:left="0" w:right="0" w:hanging="0"/>
    </w:pPr>
    <w:rPr/>
  </w:style>
  <w:style w:type="paragraph" w:styleId="81">
    <w:name w:val="TOC 8"/>
    <w:basedOn w:val="Style36"/>
    <w:pPr>
      <w:tabs>
        <w:tab w:val="clear" w:pos="306"/>
        <w:tab w:val="right" w:pos="7657" w:leader="dot"/>
      </w:tabs>
      <w:ind w:left="0" w:right="0" w:hanging="0"/>
    </w:pPr>
    <w:rPr/>
  </w:style>
  <w:style w:type="paragraph" w:styleId="91">
    <w:name w:val="TOC 9"/>
    <w:basedOn w:val="Style36"/>
    <w:pPr>
      <w:tabs>
        <w:tab w:val="clear" w:pos="306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6"/>
    <w:qFormat/>
    <w:pPr>
      <w:tabs>
        <w:tab w:val="clear" w:pos="306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6"/>
    <w:qFormat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2"/>
    <w:qFormat/>
    <w:pPr>
      <w:ind w:left="0" w:right="0" w:hanging="0"/>
    </w:pPr>
    <w:rPr/>
  </w:style>
  <w:style w:type="paragraph" w:styleId="110">
    <w:name w:val="Список объектов 1"/>
    <w:basedOn w:val="Style36"/>
    <w:qFormat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2"/>
    <w:qFormat/>
    <w:pPr>
      <w:ind w:left="0" w:right="0" w:hanging="0"/>
    </w:pPr>
    <w:rPr/>
  </w:style>
  <w:style w:type="paragraph" w:styleId="111">
    <w:name w:val="Список таблиц 1"/>
    <w:basedOn w:val="Style36"/>
    <w:qFormat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2"/>
    <w:qFormat/>
    <w:pPr>
      <w:ind w:left="0" w:right="0" w:hanging="0"/>
    </w:pPr>
    <w:rPr/>
  </w:style>
  <w:style w:type="paragraph" w:styleId="112">
    <w:name w:val="Библиография 1"/>
    <w:basedOn w:val="Style36"/>
    <w:qFormat/>
    <w:pPr>
      <w:tabs>
        <w:tab w:val="clear" w:pos="306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6"/>
    <w:qFormat/>
    <w:pPr>
      <w:tabs>
        <w:tab w:val="clear" w:pos="306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6"/>
    <w:qFormat/>
    <w:pPr>
      <w:tabs>
        <w:tab w:val="clear" w:pos="306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6"/>
    <w:qFormat/>
    <w:pPr>
      <w:tabs>
        <w:tab w:val="clear" w:pos="306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6"/>
    <w:qFormat/>
    <w:pPr>
      <w:tabs>
        <w:tab w:val="clear" w:pos="306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6"/>
    <w:qFormat/>
    <w:pPr>
      <w:tabs>
        <w:tab w:val="clear" w:pos="306"/>
        <w:tab w:val="right" w:pos="7091" w:leader="dot"/>
      </w:tabs>
      <w:ind w:left="0" w:right="0" w:hanging="0"/>
    </w:pPr>
    <w:rPr/>
  </w:style>
  <w:style w:type="paragraph" w:styleId="Style50">
    <w:name w:val="Верхний и нижний колонтитулы"/>
    <w:basedOn w:val="Normal"/>
    <w:qFormat/>
    <w:pPr>
      <w:suppressLineNumbers/>
      <w:tabs>
        <w:tab w:val="clear" w:pos="306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306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306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306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306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306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306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5"/>
    <w:qFormat/>
    <w:pPr/>
    <w:rPr/>
  </w:style>
  <w:style w:type="paragraph" w:styleId="Style60">
    <w:name w:val="Таблица"/>
    <w:basedOn w:val="Style35"/>
    <w:qFormat/>
    <w:pPr/>
    <w:rPr/>
  </w:style>
  <w:style w:type="paragraph" w:styleId="Style61">
    <w:name w:val="Текст"/>
    <w:basedOn w:val="Style35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5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3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2"/>
    <w:qFormat/>
    <w:pPr>
      <w:suppressLineNumbers/>
      <w:ind w:left="0" w:right="0" w:hanging="0"/>
      <w:jc w:val="center"/>
    </w:pPr>
    <w:rPr/>
  </w:style>
  <w:style w:type="paragraph" w:styleId="ConsPlusNormal">
    <w:name w:val="ConsPlus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1669</TotalTime>
  <Application>LibreOffice/6.4.7.2$Linux_X86_64 LibreOffice_project/72d9d5113b23a0ed474720f9d366fcde9a2744dd</Application>
  <Pages>2</Pages>
  <Words>410</Words>
  <Characters>2960</Characters>
  <CharactersWithSpaces>3350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2022-05-24T12:35:50Z</dcterms:created>
  <dc:creator/>
  <dc:description/>
  <dc:language>ru-RU</dc:language>
  <cp:lastModifiedBy/>
  <cp:lastPrinted>2022-05-26T13:57:00Z</cp:lastPrinted>
  <dcterms:modified xsi:type="dcterms:W3CDTF">2022-08-19T11:14:40Z</dcterms:modified>
  <cp:revision>70</cp:revision>
  <dc:subject/>
  <dc:title>Default</dc:title>
</cp:coreProperties>
</file>