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92" w:rsidRDefault="00353808" w:rsidP="00353808">
      <w:pPr>
        <w:jc w:val="right"/>
      </w:pPr>
      <w:bookmarkStart w:id="0" w:name="_GoBack"/>
      <w:bookmarkEnd w:id="0"/>
      <w:r>
        <w:t>ПРОЕКТ</w:t>
      </w:r>
    </w:p>
    <w:p w:rsidR="005C3172" w:rsidRDefault="005C3172" w:rsidP="00BB5092">
      <w:pPr>
        <w:jc w:val="center"/>
      </w:pPr>
    </w:p>
    <w:p w:rsidR="009C4E75" w:rsidRDefault="009C4E75" w:rsidP="007D6861">
      <w:pPr>
        <w:jc w:val="center"/>
        <w:rPr>
          <w:b/>
          <w:sz w:val="26"/>
          <w:szCs w:val="26"/>
        </w:rPr>
      </w:pPr>
    </w:p>
    <w:p w:rsidR="009C4E75" w:rsidRDefault="009C4E75" w:rsidP="007D6861">
      <w:pPr>
        <w:jc w:val="center"/>
        <w:rPr>
          <w:b/>
          <w:sz w:val="26"/>
          <w:szCs w:val="26"/>
        </w:rPr>
      </w:pPr>
    </w:p>
    <w:p w:rsidR="009C4E75" w:rsidRDefault="009C4E75" w:rsidP="007D6861">
      <w:pPr>
        <w:jc w:val="center"/>
        <w:rPr>
          <w:b/>
          <w:sz w:val="26"/>
          <w:szCs w:val="26"/>
        </w:rPr>
      </w:pPr>
    </w:p>
    <w:p w:rsidR="007D6861" w:rsidRDefault="005C3172" w:rsidP="007D68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  <w:r w:rsidR="007D6861">
        <w:rPr>
          <w:b/>
          <w:sz w:val="26"/>
          <w:szCs w:val="26"/>
        </w:rPr>
        <w:t>администрации</w:t>
      </w:r>
    </w:p>
    <w:p w:rsidR="001B017A" w:rsidRDefault="007D6861" w:rsidP="007D68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Наход</w:t>
      </w:r>
      <w:r w:rsidR="005C3172">
        <w:rPr>
          <w:b/>
          <w:sz w:val="26"/>
          <w:szCs w:val="26"/>
        </w:rPr>
        <w:t>кинского городского округа от 26</w:t>
      </w:r>
      <w:r w:rsidR="00A06578">
        <w:rPr>
          <w:b/>
          <w:sz w:val="26"/>
          <w:szCs w:val="26"/>
        </w:rPr>
        <w:t>.10.</w:t>
      </w:r>
      <w:r w:rsidR="005C3172">
        <w:rPr>
          <w:b/>
          <w:sz w:val="26"/>
          <w:szCs w:val="26"/>
        </w:rPr>
        <w:t>2018</w:t>
      </w:r>
      <w:r>
        <w:rPr>
          <w:b/>
          <w:sz w:val="26"/>
          <w:szCs w:val="26"/>
        </w:rPr>
        <w:t xml:space="preserve"> </w:t>
      </w:r>
    </w:p>
    <w:p w:rsidR="001B017A" w:rsidRDefault="005C3172" w:rsidP="001B0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1860</w:t>
      </w:r>
      <w:r w:rsidR="001B017A">
        <w:rPr>
          <w:b/>
          <w:sz w:val="26"/>
          <w:szCs w:val="26"/>
        </w:rPr>
        <w:t xml:space="preserve"> </w:t>
      </w:r>
      <w:r w:rsidR="007D6861">
        <w:rPr>
          <w:b/>
          <w:sz w:val="26"/>
          <w:szCs w:val="26"/>
        </w:rPr>
        <w:t xml:space="preserve">«Об утверждении </w:t>
      </w:r>
      <w:r w:rsidR="00DC212E">
        <w:rPr>
          <w:b/>
          <w:sz w:val="26"/>
          <w:szCs w:val="26"/>
        </w:rPr>
        <w:t>Реестр</w:t>
      </w:r>
      <w:r w:rsidR="007D6861">
        <w:rPr>
          <w:b/>
          <w:sz w:val="26"/>
          <w:szCs w:val="26"/>
        </w:rPr>
        <w:t xml:space="preserve">а </w:t>
      </w:r>
      <w:proofErr w:type="gramStart"/>
      <w:r w:rsidR="007D6861">
        <w:rPr>
          <w:b/>
          <w:sz w:val="26"/>
          <w:szCs w:val="26"/>
        </w:rPr>
        <w:t>муниципальных</w:t>
      </w:r>
      <w:proofErr w:type="gramEnd"/>
      <w:r w:rsidR="007D6861">
        <w:rPr>
          <w:b/>
          <w:sz w:val="26"/>
          <w:szCs w:val="26"/>
        </w:rPr>
        <w:t xml:space="preserve"> </w:t>
      </w:r>
    </w:p>
    <w:p w:rsidR="001B017A" w:rsidRDefault="008E2733" w:rsidP="001B0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маршрутов</w:t>
      </w:r>
      <w:r w:rsidR="00F938F2">
        <w:rPr>
          <w:b/>
          <w:sz w:val="26"/>
          <w:szCs w:val="26"/>
        </w:rPr>
        <w:t xml:space="preserve"> регулярных перевозок Находкинского </w:t>
      </w:r>
    </w:p>
    <w:p w:rsidR="00BB5092" w:rsidRPr="00F938F2" w:rsidRDefault="00F938F2" w:rsidP="001B0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</w:t>
      </w:r>
      <w:r w:rsidR="007D6861">
        <w:rPr>
          <w:b/>
          <w:sz w:val="26"/>
          <w:szCs w:val="26"/>
        </w:rPr>
        <w:t>»</w:t>
      </w:r>
    </w:p>
    <w:p w:rsidR="0037348B" w:rsidRDefault="0037348B" w:rsidP="00BB5092">
      <w:pPr>
        <w:rPr>
          <w:sz w:val="26"/>
          <w:szCs w:val="26"/>
        </w:rPr>
      </w:pPr>
    </w:p>
    <w:p w:rsidR="0037348B" w:rsidRDefault="0037348B" w:rsidP="00BB5092">
      <w:pPr>
        <w:rPr>
          <w:sz w:val="26"/>
          <w:szCs w:val="26"/>
        </w:rPr>
      </w:pPr>
    </w:p>
    <w:p w:rsidR="005C3172" w:rsidRPr="00BB5092" w:rsidRDefault="005C3172" w:rsidP="00BB5092">
      <w:pPr>
        <w:rPr>
          <w:sz w:val="26"/>
          <w:szCs w:val="26"/>
        </w:rPr>
      </w:pPr>
    </w:p>
    <w:p w:rsidR="005C3172" w:rsidRDefault="00990FDD" w:rsidP="001B017A">
      <w:pPr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</w:t>
      </w:r>
      <w:r w:rsidR="004C5D3A">
        <w:rPr>
          <w:sz w:val="26"/>
          <w:szCs w:val="26"/>
        </w:rPr>
        <w:t xml:space="preserve"> </w:t>
      </w:r>
      <w:r w:rsidR="006F38CC">
        <w:rPr>
          <w:sz w:val="26"/>
          <w:szCs w:val="26"/>
        </w:rPr>
        <w:t>Федеральным законом от 13</w:t>
      </w:r>
      <w:r w:rsidR="00A06578">
        <w:rPr>
          <w:sz w:val="26"/>
          <w:szCs w:val="26"/>
        </w:rPr>
        <w:t>.07.</w:t>
      </w:r>
      <w:r w:rsidR="006F38CC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="006F38CC">
        <w:rPr>
          <w:sz w:val="26"/>
          <w:szCs w:val="26"/>
        </w:rPr>
        <w:t xml:space="preserve"> № 220-ФЗ «Об организации </w:t>
      </w:r>
      <w:r>
        <w:rPr>
          <w:sz w:val="26"/>
          <w:szCs w:val="26"/>
        </w:rPr>
        <w:t xml:space="preserve">регулярных </w:t>
      </w:r>
      <w:r w:rsidR="006F38CC">
        <w:rPr>
          <w:sz w:val="26"/>
          <w:szCs w:val="26"/>
        </w:rPr>
        <w:t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34A08">
        <w:rPr>
          <w:sz w:val="26"/>
          <w:szCs w:val="26"/>
        </w:rPr>
        <w:t xml:space="preserve">, </w:t>
      </w:r>
      <w:r w:rsidR="006764E1">
        <w:rPr>
          <w:sz w:val="26"/>
          <w:szCs w:val="26"/>
        </w:rPr>
        <w:t xml:space="preserve"> </w:t>
      </w:r>
      <w:r w:rsidR="00034A08">
        <w:rPr>
          <w:sz w:val="26"/>
          <w:szCs w:val="26"/>
        </w:rPr>
        <w:t xml:space="preserve">постановлением администрации Находкинского </w:t>
      </w:r>
      <w:r w:rsidR="00A06578">
        <w:rPr>
          <w:sz w:val="26"/>
          <w:szCs w:val="26"/>
        </w:rPr>
        <w:t>городского округа от 28.08.</w:t>
      </w:r>
      <w:r w:rsidR="00034A08">
        <w:rPr>
          <w:sz w:val="26"/>
          <w:szCs w:val="26"/>
        </w:rPr>
        <w:t>2017 № 1117 «Об утверждении документа планирования регулярных перевозок пассажиров автомобильным транспортом по муниципальным маршрутам Находкинского городского округа», статьей 48 Устава Находкинского</w:t>
      </w:r>
      <w:proofErr w:type="gramEnd"/>
      <w:r w:rsidR="00034A08">
        <w:rPr>
          <w:sz w:val="26"/>
          <w:szCs w:val="26"/>
        </w:rPr>
        <w:t xml:space="preserve"> городского округа,</w:t>
      </w:r>
      <w:r w:rsidR="005C3172">
        <w:rPr>
          <w:sz w:val="26"/>
          <w:szCs w:val="26"/>
        </w:rPr>
        <w:t xml:space="preserve"> администрация Находкинского городского округа</w:t>
      </w:r>
    </w:p>
    <w:p w:rsidR="005C3172" w:rsidRDefault="005C3172" w:rsidP="001B017A">
      <w:pPr>
        <w:spacing w:line="360" w:lineRule="auto"/>
        <w:ind w:firstLine="540"/>
        <w:jc w:val="both"/>
        <w:rPr>
          <w:sz w:val="26"/>
          <w:szCs w:val="26"/>
        </w:rPr>
      </w:pPr>
    </w:p>
    <w:p w:rsidR="005C3172" w:rsidRDefault="005C3172" w:rsidP="006764E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</w:p>
    <w:p w:rsidR="006F38CC" w:rsidRPr="001B017A" w:rsidRDefault="006F38CC" w:rsidP="001B017A">
      <w:pPr>
        <w:spacing w:line="360" w:lineRule="auto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422AE" w:rsidRDefault="00CE038A" w:rsidP="009422AE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C46231">
        <w:rPr>
          <w:sz w:val="26"/>
          <w:szCs w:val="26"/>
        </w:rPr>
        <w:t xml:space="preserve">следующие </w:t>
      </w:r>
      <w:r w:rsidR="005C3172">
        <w:rPr>
          <w:sz w:val="26"/>
          <w:szCs w:val="26"/>
        </w:rPr>
        <w:t>изменения</w:t>
      </w:r>
      <w:r w:rsidR="00DC1F5E">
        <w:rPr>
          <w:sz w:val="26"/>
          <w:szCs w:val="26"/>
        </w:rPr>
        <w:t xml:space="preserve"> </w:t>
      </w:r>
      <w:r w:rsidR="001B017A">
        <w:rPr>
          <w:sz w:val="26"/>
          <w:szCs w:val="26"/>
        </w:rPr>
        <w:t xml:space="preserve">в Реестр муниципальных маршрутов регулярных перевозок Находкинского городского округа, утвержденный </w:t>
      </w:r>
      <w:r w:rsidR="005C3172">
        <w:rPr>
          <w:sz w:val="26"/>
          <w:szCs w:val="26"/>
        </w:rPr>
        <w:t>постановлением</w:t>
      </w:r>
      <w:r w:rsidR="00C61D08">
        <w:rPr>
          <w:sz w:val="26"/>
          <w:szCs w:val="26"/>
        </w:rPr>
        <w:t xml:space="preserve"> администрации Наход</w:t>
      </w:r>
      <w:r w:rsidR="005C3172">
        <w:rPr>
          <w:sz w:val="26"/>
          <w:szCs w:val="26"/>
        </w:rPr>
        <w:t>кинского городского округа от 26</w:t>
      </w:r>
      <w:r w:rsidR="00C46231">
        <w:rPr>
          <w:sz w:val="26"/>
          <w:szCs w:val="26"/>
        </w:rPr>
        <w:t>.10.</w:t>
      </w:r>
      <w:r w:rsidR="005C3172">
        <w:rPr>
          <w:sz w:val="26"/>
          <w:szCs w:val="26"/>
        </w:rPr>
        <w:t>2018 года № 1860</w:t>
      </w:r>
      <w:r w:rsidR="00C46231">
        <w:rPr>
          <w:sz w:val="26"/>
          <w:szCs w:val="26"/>
        </w:rPr>
        <w:t>:</w:t>
      </w:r>
    </w:p>
    <w:p w:rsidR="00B75734" w:rsidRDefault="00B75734" w:rsidP="00B75734">
      <w:pPr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C46231">
        <w:rPr>
          <w:sz w:val="26"/>
          <w:szCs w:val="26"/>
        </w:rPr>
        <w:t xml:space="preserve">Позиции </w:t>
      </w:r>
      <w:r w:rsidR="00837BF2">
        <w:rPr>
          <w:sz w:val="26"/>
          <w:szCs w:val="26"/>
        </w:rPr>
        <w:t>7,</w:t>
      </w:r>
      <w:r w:rsidR="00ED0CBA">
        <w:rPr>
          <w:sz w:val="26"/>
          <w:szCs w:val="26"/>
        </w:rPr>
        <w:t>8,</w:t>
      </w:r>
      <w:r w:rsidR="00837BF2">
        <w:rPr>
          <w:sz w:val="26"/>
          <w:szCs w:val="26"/>
        </w:rPr>
        <w:t>9, 14</w:t>
      </w:r>
      <w:r w:rsidR="009B340C">
        <w:rPr>
          <w:sz w:val="26"/>
          <w:szCs w:val="26"/>
        </w:rPr>
        <w:t xml:space="preserve">, </w:t>
      </w:r>
      <w:r>
        <w:rPr>
          <w:sz w:val="26"/>
          <w:szCs w:val="26"/>
        </w:rPr>
        <w:t>17</w:t>
      </w:r>
      <w:r w:rsidR="009B340C">
        <w:rPr>
          <w:sz w:val="26"/>
          <w:szCs w:val="26"/>
        </w:rPr>
        <w:t>, 19 и 23</w:t>
      </w:r>
      <w:r>
        <w:rPr>
          <w:sz w:val="26"/>
          <w:szCs w:val="26"/>
        </w:rPr>
        <w:t xml:space="preserve"> </w:t>
      </w:r>
      <w:r w:rsidRPr="00C46231">
        <w:rPr>
          <w:sz w:val="26"/>
          <w:szCs w:val="26"/>
        </w:rPr>
        <w:t xml:space="preserve">изложить в новой </w:t>
      </w:r>
      <w:r>
        <w:rPr>
          <w:sz w:val="26"/>
          <w:szCs w:val="26"/>
        </w:rPr>
        <w:t>редакции (приложение).</w:t>
      </w:r>
    </w:p>
    <w:p w:rsidR="00C46231" w:rsidRDefault="00B75734" w:rsidP="009422AE">
      <w:pPr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утратившей</w:t>
      </w:r>
      <w:r w:rsidR="009422AE" w:rsidRPr="00C46231">
        <w:rPr>
          <w:sz w:val="26"/>
          <w:szCs w:val="26"/>
        </w:rPr>
        <w:t xml:space="preserve"> силу позици</w:t>
      </w:r>
      <w:r w:rsidR="00954004">
        <w:rPr>
          <w:sz w:val="26"/>
          <w:szCs w:val="26"/>
        </w:rPr>
        <w:t>и</w:t>
      </w:r>
      <w:r w:rsidR="009422AE" w:rsidRPr="00C46231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954004">
        <w:rPr>
          <w:sz w:val="26"/>
          <w:szCs w:val="26"/>
        </w:rPr>
        <w:t xml:space="preserve"> и 21</w:t>
      </w:r>
      <w:r>
        <w:rPr>
          <w:sz w:val="26"/>
          <w:szCs w:val="26"/>
        </w:rPr>
        <w:t>.</w:t>
      </w:r>
    </w:p>
    <w:p w:rsidR="005160B7" w:rsidRPr="00C46231" w:rsidRDefault="00990FDD" w:rsidP="00C46231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C46231">
        <w:rPr>
          <w:sz w:val="26"/>
          <w:szCs w:val="26"/>
        </w:rPr>
        <w:t xml:space="preserve">Управлению внешних коммуникаций </w:t>
      </w:r>
      <w:r w:rsidR="005160B7" w:rsidRPr="00C46231">
        <w:rPr>
          <w:sz w:val="26"/>
          <w:szCs w:val="26"/>
        </w:rPr>
        <w:t>администрации Находкинс</w:t>
      </w:r>
      <w:r w:rsidR="00C7678C" w:rsidRPr="00C46231">
        <w:rPr>
          <w:sz w:val="26"/>
          <w:szCs w:val="26"/>
        </w:rPr>
        <w:t xml:space="preserve">кого городского округа </w:t>
      </w:r>
      <w:r w:rsidR="005160B7" w:rsidRPr="00C46231">
        <w:rPr>
          <w:sz w:val="26"/>
          <w:szCs w:val="26"/>
        </w:rPr>
        <w:t>опуб</w:t>
      </w:r>
      <w:r w:rsidR="005C3172" w:rsidRPr="00C46231">
        <w:rPr>
          <w:sz w:val="26"/>
          <w:szCs w:val="26"/>
        </w:rPr>
        <w:t>ликовать настоящее постановление</w:t>
      </w:r>
      <w:r w:rsidR="005160B7" w:rsidRPr="00C46231">
        <w:rPr>
          <w:sz w:val="26"/>
          <w:szCs w:val="26"/>
        </w:rPr>
        <w:t xml:space="preserve"> </w:t>
      </w:r>
      <w:r w:rsidR="006764E1" w:rsidRPr="00C46231">
        <w:rPr>
          <w:sz w:val="26"/>
          <w:szCs w:val="26"/>
        </w:rPr>
        <w:t>в средствах массовой информации Находкинского городского округа.</w:t>
      </w:r>
    </w:p>
    <w:p w:rsidR="00C7678C" w:rsidRDefault="00CE038A" w:rsidP="00EF6F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7348B">
        <w:rPr>
          <w:sz w:val="26"/>
          <w:szCs w:val="26"/>
        </w:rPr>
        <w:t xml:space="preserve">. </w:t>
      </w:r>
      <w:r w:rsidR="00C7678C">
        <w:rPr>
          <w:sz w:val="26"/>
          <w:szCs w:val="26"/>
        </w:rPr>
        <w:t xml:space="preserve">Отделу делопроизводства администрации Находкинского городского округа (Атрашок) </w:t>
      </w:r>
      <w:proofErr w:type="gramStart"/>
      <w:r w:rsidR="00C7678C">
        <w:rPr>
          <w:sz w:val="26"/>
          <w:szCs w:val="26"/>
        </w:rPr>
        <w:t>р</w:t>
      </w:r>
      <w:r w:rsidR="005C3172">
        <w:rPr>
          <w:sz w:val="26"/>
          <w:szCs w:val="26"/>
        </w:rPr>
        <w:t>азместить</w:t>
      </w:r>
      <w:proofErr w:type="gramEnd"/>
      <w:r w:rsidR="005C3172">
        <w:rPr>
          <w:sz w:val="26"/>
          <w:szCs w:val="26"/>
        </w:rPr>
        <w:t xml:space="preserve"> настоящее постановление</w:t>
      </w:r>
      <w:r w:rsidR="00C7678C">
        <w:rPr>
          <w:sz w:val="26"/>
          <w:szCs w:val="26"/>
        </w:rPr>
        <w:t xml:space="preserve"> на официальном сайте Находкинского городского округа в сети Интернет.</w:t>
      </w:r>
    </w:p>
    <w:p w:rsidR="009A6DDC" w:rsidRDefault="00CE038A" w:rsidP="00EF6F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348B">
        <w:rPr>
          <w:sz w:val="26"/>
          <w:szCs w:val="26"/>
        </w:rPr>
        <w:t xml:space="preserve">. </w:t>
      </w:r>
      <w:proofErr w:type="gramStart"/>
      <w:r w:rsidR="009A6DDC">
        <w:rPr>
          <w:sz w:val="26"/>
          <w:szCs w:val="26"/>
        </w:rPr>
        <w:t>Контроль за</w:t>
      </w:r>
      <w:proofErr w:type="gramEnd"/>
      <w:r w:rsidR="009A6DDC">
        <w:rPr>
          <w:sz w:val="26"/>
          <w:szCs w:val="26"/>
        </w:rPr>
        <w:t xml:space="preserve"> </w:t>
      </w:r>
      <w:r w:rsidR="006764E1">
        <w:rPr>
          <w:sz w:val="26"/>
          <w:szCs w:val="26"/>
        </w:rPr>
        <w:t xml:space="preserve"> </w:t>
      </w:r>
      <w:r w:rsidR="00F73274">
        <w:rPr>
          <w:sz w:val="26"/>
          <w:szCs w:val="26"/>
        </w:rPr>
        <w:t xml:space="preserve">исполнением </w:t>
      </w:r>
      <w:r w:rsidR="006764E1">
        <w:rPr>
          <w:sz w:val="26"/>
          <w:szCs w:val="26"/>
        </w:rPr>
        <w:t>д</w:t>
      </w:r>
      <w:r w:rsidR="00F73274">
        <w:rPr>
          <w:sz w:val="26"/>
          <w:szCs w:val="26"/>
        </w:rPr>
        <w:t>анного</w:t>
      </w:r>
      <w:r w:rsidR="005C3172">
        <w:rPr>
          <w:sz w:val="26"/>
          <w:szCs w:val="26"/>
        </w:rPr>
        <w:t xml:space="preserve"> постановления</w:t>
      </w:r>
      <w:r w:rsidR="009A6DDC">
        <w:rPr>
          <w:sz w:val="26"/>
          <w:szCs w:val="26"/>
        </w:rPr>
        <w:t xml:space="preserve"> </w:t>
      </w:r>
      <w:r w:rsidR="001B017A">
        <w:rPr>
          <w:sz w:val="26"/>
          <w:szCs w:val="26"/>
        </w:rPr>
        <w:t xml:space="preserve"> «О в</w:t>
      </w:r>
      <w:r w:rsidR="005C3172">
        <w:rPr>
          <w:sz w:val="26"/>
          <w:szCs w:val="26"/>
        </w:rPr>
        <w:t>несении изменений в постановление</w:t>
      </w:r>
      <w:r w:rsidR="001B017A">
        <w:rPr>
          <w:sz w:val="26"/>
          <w:szCs w:val="26"/>
        </w:rPr>
        <w:t xml:space="preserve"> </w:t>
      </w:r>
      <w:r w:rsidR="006764E1">
        <w:rPr>
          <w:sz w:val="26"/>
          <w:szCs w:val="26"/>
        </w:rPr>
        <w:t xml:space="preserve"> </w:t>
      </w:r>
      <w:r w:rsidR="001B017A">
        <w:rPr>
          <w:sz w:val="26"/>
          <w:szCs w:val="26"/>
        </w:rPr>
        <w:t xml:space="preserve">администрации </w:t>
      </w:r>
      <w:r w:rsidR="006764E1">
        <w:rPr>
          <w:sz w:val="26"/>
          <w:szCs w:val="26"/>
        </w:rPr>
        <w:t xml:space="preserve"> </w:t>
      </w:r>
      <w:r w:rsidR="001B017A">
        <w:rPr>
          <w:sz w:val="26"/>
          <w:szCs w:val="26"/>
        </w:rPr>
        <w:t>Наход</w:t>
      </w:r>
      <w:r w:rsidR="005C3172">
        <w:rPr>
          <w:sz w:val="26"/>
          <w:szCs w:val="26"/>
        </w:rPr>
        <w:t>кинского городского округа от</w:t>
      </w:r>
      <w:r w:rsidR="006764E1">
        <w:rPr>
          <w:sz w:val="26"/>
          <w:szCs w:val="26"/>
        </w:rPr>
        <w:t xml:space="preserve"> </w:t>
      </w:r>
      <w:r w:rsidR="005C3172">
        <w:rPr>
          <w:sz w:val="26"/>
          <w:szCs w:val="26"/>
        </w:rPr>
        <w:t xml:space="preserve"> 26</w:t>
      </w:r>
      <w:r w:rsidR="00221CA7">
        <w:rPr>
          <w:sz w:val="26"/>
          <w:szCs w:val="26"/>
        </w:rPr>
        <w:t>.10.2018</w:t>
      </w:r>
      <w:r w:rsidR="005C3172">
        <w:rPr>
          <w:sz w:val="26"/>
          <w:szCs w:val="26"/>
        </w:rPr>
        <w:t xml:space="preserve">  № 1860</w:t>
      </w:r>
      <w:r w:rsidR="001B017A">
        <w:rPr>
          <w:sz w:val="26"/>
          <w:szCs w:val="26"/>
        </w:rPr>
        <w:t xml:space="preserve"> «Об утверждении Реестра муниципальных маршрутов регулярных перевозок Находкинского городского округа» </w:t>
      </w:r>
      <w:r w:rsidR="009A6DDC">
        <w:rPr>
          <w:sz w:val="26"/>
          <w:szCs w:val="26"/>
        </w:rPr>
        <w:t>воз</w:t>
      </w:r>
      <w:r w:rsidR="00F56608">
        <w:rPr>
          <w:sz w:val="26"/>
          <w:szCs w:val="26"/>
        </w:rPr>
        <w:t xml:space="preserve">ложить на заместителя главы </w:t>
      </w:r>
      <w:r w:rsidR="00926A2A">
        <w:rPr>
          <w:sz w:val="26"/>
          <w:szCs w:val="26"/>
        </w:rPr>
        <w:t xml:space="preserve">администрации </w:t>
      </w:r>
      <w:r w:rsidR="00F56608">
        <w:rPr>
          <w:sz w:val="26"/>
          <w:szCs w:val="26"/>
        </w:rPr>
        <w:t>Находкинского г</w:t>
      </w:r>
      <w:r w:rsidR="00C7678C">
        <w:rPr>
          <w:sz w:val="26"/>
          <w:szCs w:val="26"/>
        </w:rPr>
        <w:t>ородского округа</w:t>
      </w:r>
      <w:r w:rsidR="006764E1">
        <w:rPr>
          <w:sz w:val="26"/>
          <w:szCs w:val="26"/>
        </w:rPr>
        <w:t xml:space="preserve"> – начальника управления жилищно-коммунального хозяйства администрации Находкинского городского округа</w:t>
      </w:r>
      <w:r w:rsidR="00C7678C">
        <w:rPr>
          <w:sz w:val="26"/>
          <w:szCs w:val="26"/>
        </w:rPr>
        <w:t xml:space="preserve"> </w:t>
      </w:r>
      <w:r w:rsidR="00990FDD">
        <w:rPr>
          <w:sz w:val="26"/>
          <w:szCs w:val="26"/>
        </w:rPr>
        <w:t>Шевченко</w:t>
      </w:r>
      <w:r w:rsidR="006764E1" w:rsidRPr="006764E1">
        <w:rPr>
          <w:sz w:val="26"/>
          <w:szCs w:val="26"/>
        </w:rPr>
        <w:t xml:space="preserve"> </w:t>
      </w:r>
      <w:r w:rsidR="006764E1">
        <w:rPr>
          <w:sz w:val="26"/>
          <w:szCs w:val="26"/>
        </w:rPr>
        <w:t>А.В.</w:t>
      </w:r>
    </w:p>
    <w:p w:rsidR="00150C53" w:rsidRDefault="00150C53" w:rsidP="0037348B">
      <w:pPr>
        <w:spacing w:line="360" w:lineRule="auto"/>
        <w:jc w:val="both"/>
        <w:rPr>
          <w:sz w:val="26"/>
          <w:szCs w:val="26"/>
        </w:rPr>
      </w:pPr>
    </w:p>
    <w:p w:rsidR="005C3172" w:rsidRDefault="005C3172" w:rsidP="0037348B">
      <w:pPr>
        <w:spacing w:line="360" w:lineRule="auto"/>
        <w:jc w:val="both"/>
        <w:rPr>
          <w:sz w:val="26"/>
          <w:szCs w:val="26"/>
        </w:rPr>
      </w:pPr>
    </w:p>
    <w:p w:rsidR="00636498" w:rsidRDefault="00636498" w:rsidP="0037348B">
      <w:pPr>
        <w:spacing w:line="360" w:lineRule="auto"/>
        <w:jc w:val="both"/>
        <w:rPr>
          <w:sz w:val="26"/>
          <w:szCs w:val="26"/>
        </w:rPr>
      </w:pPr>
    </w:p>
    <w:p w:rsidR="00E874D6" w:rsidRDefault="00990FDD" w:rsidP="003807E6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205B3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56608">
        <w:rPr>
          <w:sz w:val="26"/>
          <w:szCs w:val="26"/>
        </w:rPr>
        <w:t xml:space="preserve"> Находкинского городского округа           </w:t>
      </w:r>
      <w:r w:rsidR="001B017A">
        <w:rPr>
          <w:sz w:val="26"/>
          <w:szCs w:val="26"/>
        </w:rPr>
        <w:t xml:space="preserve">               </w:t>
      </w:r>
      <w:r w:rsidR="00205B3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</w:t>
      </w:r>
      <w:r w:rsidR="006764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Т.В. Магинский</w:t>
      </w: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</w:pPr>
    </w:p>
    <w:p w:rsidR="00145DB7" w:rsidRDefault="00145DB7" w:rsidP="003807E6">
      <w:pPr>
        <w:rPr>
          <w:sz w:val="26"/>
          <w:szCs w:val="26"/>
        </w:rPr>
        <w:sectPr w:rsidR="00145DB7" w:rsidSect="00D93372">
          <w:headerReference w:type="default" r:id="rId9"/>
          <w:pgSz w:w="11906" w:h="16838"/>
          <w:pgMar w:top="1134" w:right="794" w:bottom="851" w:left="1701" w:header="709" w:footer="709" w:gutter="0"/>
          <w:cols w:space="708"/>
          <w:titlePg/>
          <w:docGrid w:linePitch="360"/>
        </w:sectPr>
      </w:pPr>
    </w:p>
    <w:p w:rsidR="00145DB7" w:rsidRDefault="00145DB7" w:rsidP="00145DB7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145DB7" w:rsidRDefault="00145DB7" w:rsidP="00145DB7">
      <w:pPr>
        <w:contextualSpacing/>
        <w:jc w:val="center"/>
        <w:rPr>
          <w:sz w:val="26"/>
          <w:szCs w:val="26"/>
        </w:rPr>
      </w:pPr>
    </w:p>
    <w:p w:rsidR="00145DB7" w:rsidRDefault="00145DB7" w:rsidP="00145DB7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145DB7" w:rsidRDefault="00145DB7" w:rsidP="00145DB7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Находкинского городского округа</w:t>
      </w:r>
    </w:p>
    <w:p w:rsidR="00A61978" w:rsidRDefault="00A61978" w:rsidP="00145DB7">
      <w:pPr>
        <w:contextualSpacing/>
        <w:jc w:val="center"/>
        <w:rPr>
          <w:sz w:val="26"/>
          <w:szCs w:val="26"/>
        </w:rPr>
      </w:pPr>
    </w:p>
    <w:p w:rsidR="00145DB7" w:rsidRDefault="00145DB7" w:rsidP="00145DB7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145DB7" w:rsidRDefault="00145DB7" w:rsidP="00145DB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ИЗМЕНЕНИЯ, </w:t>
      </w:r>
    </w:p>
    <w:p w:rsidR="00145DB7" w:rsidRDefault="00145DB7" w:rsidP="00145DB7">
      <w:pPr>
        <w:contextualSpacing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вносимые</w:t>
      </w:r>
      <w:proofErr w:type="gramEnd"/>
      <w:r>
        <w:rPr>
          <w:b/>
          <w:sz w:val="26"/>
          <w:szCs w:val="26"/>
        </w:rPr>
        <w:t xml:space="preserve"> в Реестр</w:t>
      </w:r>
      <w:r w:rsidRPr="008E1619">
        <w:rPr>
          <w:b/>
          <w:sz w:val="26"/>
          <w:szCs w:val="26"/>
        </w:rPr>
        <w:t xml:space="preserve"> муниципальных маршрутов регулярных</w:t>
      </w:r>
    </w:p>
    <w:p w:rsidR="00145DB7" w:rsidRDefault="00145DB7" w:rsidP="00145DB7">
      <w:pPr>
        <w:contextualSpacing/>
        <w:jc w:val="center"/>
        <w:rPr>
          <w:b/>
          <w:sz w:val="26"/>
          <w:szCs w:val="26"/>
        </w:rPr>
      </w:pPr>
      <w:r w:rsidRPr="008E1619">
        <w:rPr>
          <w:b/>
          <w:sz w:val="26"/>
          <w:szCs w:val="26"/>
        </w:rPr>
        <w:t xml:space="preserve"> перевозок Находкинского городского округа</w:t>
      </w:r>
      <w:r>
        <w:rPr>
          <w:b/>
          <w:sz w:val="26"/>
          <w:szCs w:val="26"/>
        </w:rPr>
        <w:t xml:space="preserve"> </w:t>
      </w:r>
    </w:p>
    <w:p w:rsidR="00145DB7" w:rsidRPr="00A22D2B" w:rsidRDefault="00145DB7" w:rsidP="00145DB7">
      <w:pPr>
        <w:contextualSpacing/>
        <w:rPr>
          <w:sz w:val="26"/>
          <w:szCs w:val="26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1276"/>
        <w:gridCol w:w="3118"/>
        <w:gridCol w:w="1843"/>
        <w:gridCol w:w="567"/>
        <w:gridCol w:w="992"/>
        <w:gridCol w:w="709"/>
        <w:gridCol w:w="567"/>
        <w:gridCol w:w="709"/>
        <w:gridCol w:w="992"/>
        <w:gridCol w:w="1134"/>
        <w:gridCol w:w="1637"/>
      </w:tblGrid>
      <w:tr w:rsidR="00145DB7" w:rsidRPr="00CD4A03" w:rsidTr="00D93372"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Регистрационный номер маршрута</w:t>
            </w:r>
          </w:p>
        </w:tc>
        <w:tc>
          <w:tcPr>
            <w:tcW w:w="1276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График маршрута</w:t>
            </w:r>
          </w:p>
        </w:tc>
        <w:tc>
          <w:tcPr>
            <w:tcW w:w="1276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FE6994">
              <w:rPr>
                <w:sz w:val="18"/>
                <w:szCs w:val="18"/>
              </w:rPr>
              <w:t>Наименова</w:t>
            </w:r>
            <w:r w:rsidR="00D93372">
              <w:rPr>
                <w:sz w:val="18"/>
                <w:szCs w:val="18"/>
              </w:rPr>
              <w:t>-</w:t>
            </w:r>
            <w:r w:rsidRPr="00FE6994">
              <w:rPr>
                <w:sz w:val="18"/>
                <w:szCs w:val="18"/>
              </w:rPr>
              <w:t>ние</w:t>
            </w:r>
            <w:proofErr w:type="gramEnd"/>
            <w:r w:rsidRPr="00FE6994">
              <w:rPr>
                <w:sz w:val="18"/>
                <w:szCs w:val="18"/>
              </w:rPr>
              <w:t xml:space="preserve"> маршрута</w:t>
            </w:r>
          </w:p>
        </w:tc>
        <w:tc>
          <w:tcPr>
            <w:tcW w:w="3118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Наименование промежуточных остановок по маршруту</w:t>
            </w:r>
          </w:p>
        </w:tc>
        <w:tc>
          <w:tcPr>
            <w:tcW w:w="1843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Наименование улиц, автомобильных дорог по маршруту</w:t>
            </w:r>
          </w:p>
        </w:tc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 xml:space="preserve">Протяженность маршрута, </w:t>
            </w:r>
            <w:proofErr w:type="gramStart"/>
            <w:r w:rsidRPr="00FE6994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709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Вид перевозок</w:t>
            </w:r>
          </w:p>
        </w:tc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Максим</w:t>
            </w:r>
            <w:proofErr w:type="gramStart"/>
            <w:r w:rsidRPr="00FE6994">
              <w:rPr>
                <w:sz w:val="18"/>
                <w:szCs w:val="18"/>
              </w:rPr>
              <w:t>.к</w:t>
            </w:r>
            <w:proofErr w:type="gramEnd"/>
            <w:r w:rsidRPr="00FE6994">
              <w:rPr>
                <w:sz w:val="18"/>
                <w:szCs w:val="18"/>
              </w:rPr>
              <w:t>оличество транспортных ср-в</w:t>
            </w:r>
          </w:p>
        </w:tc>
        <w:tc>
          <w:tcPr>
            <w:tcW w:w="709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 xml:space="preserve">Вид и </w:t>
            </w:r>
            <w:proofErr w:type="gramStart"/>
            <w:r w:rsidRPr="00FE6994">
              <w:rPr>
                <w:sz w:val="18"/>
                <w:szCs w:val="18"/>
              </w:rPr>
              <w:t>класс</w:t>
            </w:r>
            <w:proofErr w:type="gramEnd"/>
            <w:r w:rsidRPr="00FE6994">
              <w:rPr>
                <w:sz w:val="18"/>
                <w:szCs w:val="18"/>
              </w:rPr>
              <w:t xml:space="preserve"> а/т средства, </w:t>
            </w:r>
          </w:p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Эколог хар-ка, максимальный срок эксплуатации тр-х средств</w:t>
            </w:r>
          </w:p>
        </w:tc>
        <w:tc>
          <w:tcPr>
            <w:tcW w:w="1134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Дата начала осуществ перевозок</w:t>
            </w:r>
          </w:p>
        </w:tc>
        <w:tc>
          <w:tcPr>
            <w:tcW w:w="163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Наименование организации осуществ перевозки по маршруту, ИНН налогоплательщика</w:t>
            </w:r>
          </w:p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45DB7" w:rsidRPr="00CD4A03" w:rsidTr="00D93372"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13</w:t>
            </w:r>
          </w:p>
        </w:tc>
        <w:tc>
          <w:tcPr>
            <w:tcW w:w="1637" w:type="dxa"/>
            <w:shd w:val="clear" w:color="auto" w:fill="auto"/>
          </w:tcPr>
          <w:p w:rsidR="00145DB7" w:rsidRPr="00FE6994" w:rsidRDefault="00145DB7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FE6994">
              <w:rPr>
                <w:sz w:val="18"/>
                <w:szCs w:val="18"/>
              </w:rPr>
              <w:t>14</w:t>
            </w:r>
          </w:p>
        </w:tc>
      </w:tr>
      <w:tr w:rsidR="00554ED1" w:rsidRPr="009544CE" w:rsidTr="00D93372">
        <w:tc>
          <w:tcPr>
            <w:tcW w:w="567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4А</w:t>
            </w:r>
          </w:p>
        </w:tc>
        <w:tc>
          <w:tcPr>
            <w:tcW w:w="567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:rsidR="00554ED1" w:rsidRPr="009544CE" w:rsidRDefault="00554ED1" w:rsidP="00231C8B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Советская – БАМР</w:t>
            </w:r>
          </w:p>
        </w:tc>
        <w:tc>
          <w:tcPr>
            <w:tcW w:w="3118" w:type="dxa"/>
            <w:shd w:val="clear" w:color="auto" w:fill="auto"/>
          </w:tcPr>
          <w:p w:rsidR="00554ED1" w:rsidRPr="009544CE" w:rsidRDefault="00554ED1" w:rsidP="00231C8B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9544CE">
              <w:rPr>
                <w:sz w:val="18"/>
                <w:szCs w:val="18"/>
              </w:rPr>
              <w:t>Площадь Совершеннолетия, БЭП, магазин Чебурашка, М</w:t>
            </w:r>
            <w:r w:rsidR="00D93372">
              <w:rPr>
                <w:sz w:val="18"/>
                <w:szCs w:val="18"/>
              </w:rPr>
              <w:t xml:space="preserve">едцентр «Приско», Дворец спорта, </w:t>
            </w:r>
            <w:r w:rsidRPr="009544CE">
              <w:rPr>
                <w:sz w:val="18"/>
                <w:szCs w:val="18"/>
              </w:rPr>
              <w:t>«Портовик», Поселок Портовый, Храм, Тихоокеанская, Ленинская, Заводская, Универмаг, Рыбный порт, Мореходное училище, Гагарина, Стадион Приморец, Горбольница,</w:t>
            </w:r>
            <w:r w:rsidR="009B340C">
              <w:rPr>
                <w:sz w:val="18"/>
                <w:szCs w:val="18"/>
              </w:rPr>
              <w:t xml:space="preserve"> Пирогова</w:t>
            </w:r>
            <w:r w:rsidRPr="009544CE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54ED1" w:rsidRPr="009544CE" w:rsidRDefault="00554ED1" w:rsidP="00A230B3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Пограничная, Мичурина, Советская, Красноармейская, Находкинский проспект, Пирогова, Судоремонтная</w:t>
            </w:r>
          </w:p>
        </w:tc>
        <w:tc>
          <w:tcPr>
            <w:tcW w:w="567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-//-</w:t>
            </w:r>
          </w:p>
        </w:tc>
        <w:tc>
          <w:tcPr>
            <w:tcW w:w="567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М</w:t>
            </w:r>
            <w:proofErr w:type="gramStart"/>
            <w:r w:rsidRPr="009544CE">
              <w:rPr>
                <w:sz w:val="18"/>
                <w:szCs w:val="18"/>
              </w:rPr>
              <w:t>2</w:t>
            </w:r>
            <w:proofErr w:type="gramEnd"/>
            <w:r w:rsidRPr="009544CE">
              <w:rPr>
                <w:sz w:val="18"/>
                <w:szCs w:val="18"/>
              </w:rPr>
              <w:t>, М3</w:t>
            </w:r>
          </w:p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Малый,</w:t>
            </w:r>
          </w:p>
          <w:p w:rsidR="00554ED1" w:rsidRPr="009544CE" w:rsidRDefault="00554ED1" w:rsidP="00D93372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 xml:space="preserve">Средний, большой </w:t>
            </w:r>
          </w:p>
        </w:tc>
        <w:tc>
          <w:tcPr>
            <w:tcW w:w="992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01.10.2014г</w:t>
            </w:r>
          </w:p>
        </w:tc>
        <w:tc>
          <w:tcPr>
            <w:tcW w:w="1637" w:type="dxa"/>
            <w:shd w:val="clear" w:color="auto" w:fill="auto"/>
          </w:tcPr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ООО «Центр развития спорта» г</w:t>
            </w:r>
            <w:proofErr w:type="gramStart"/>
            <w:r w:rsidRPr="009544CE">
              <w:rPr>
                <w:sz w:val="18"/>
                <w:szCs w:val="18"/>
              </w:rPr>
              <w:t>.Н</w:t>
            </w:r>
            <w:proofErr w:type="gramEnd"/>
            <w:r w:rsidRPr="009544CE">
              <w:rPr>
                <w:sz w:val="18"/>
                <w:szCs w:val="18"/>
              </w:rPr>
              <w:t>аходка, переулок Безымянный, 1</w:t>
            </w:r>
          </w:p>
          <w:p w:rsidR="00554ED1" w:rsidRPr="009544CE" w:rsidRDefault="00554ED1" w:rsidP="00FE6994">
            <w:pPr>
              <w:contextualSpacing/>
              <w:jc w:val="center"/>
              <w:rPr>
                <w:sz w:val="18"/>
                <w:szCs w:val="18"/>
              </w:rPr>
            </w:pPr>
            <w:r w:rsidRPr="009544CE">
              <w:rPr>
                <w:sz w:val="18"/>
                <w:szCs w:val="18"/>
              </w:rPr>
              <w:t>2508054031</w:t>
            </w: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Pr="009544CE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D0CBA" w:rsidRDefault="00ED0CBA" w:rsidP="0070596D">
            <w:pPr>
              <w:ind w:hanging="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1,2,3,4,5,6,7,8,9,1011,1 13, 14, 15, 16, 17, 18, </w:t>
            </w:r>
          </w:p>
          <w:p w:rsidR="00ED0CBA" w:rsidRDefault="00ED0CBA" w:rsidP="0070596D">
            <w:pPr>
              <w:ind w:hanging="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19, 20 21</w:t>
            </w:r>
          </w:p>
        </w:tc>
        <w:tc>
          <w:tcPr>
            <w:tcW w:w="1276" w:type="dxa"/>
            <w:shd w:val="clear" w:color="auto" w:fill="auto"/>
          </w:tcPr>
          <w:p w:rsidR="00ED0CBA" w:rsidRPr="00CD4A03" w:rsidRDefault="00ED0CBA" w:rsidP="00ED0CB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Северный проспект – Нефтебаза</w:t>
            </w:r>
          </w:p>
        </w:tc>
        <w:tc>
          <w:tcPr>
            <w:tcW w:w="3118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Сидоренко, Строительная, Бриз, Комсомольская, Детские товары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Универсам, Дом Быта Экспресс, Рынок, Автовокзал, Гостиница, Центральная площадь, Площадь Совершеннолетия, Поселок Портовый , Храм, Тихоокеанская, Ленинская, Заводская, Универмаг, Рыбный порт, Мореходное училище, Гагарина, Стадион Приморец,  Горбольница, Пирогова, Универсам Рыбацкий Арсеньева, Крабовая</w:t>
            </w:r>
          </w:p>
        </w:tc>
        <w:tc>
          <w:tcPr>
            <w:tcW w:w="1843" w:type="dxa"/>
            <w:shd w:val="clear" w:color="auto" w:fill="auto"/>
          </w:tcPr>
          <w:p w:rsidR="00ED0CBA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Северный пр. Комсомольская, Дзержинского, Постышева, Озерный б-р, Проспект Мира, Находкинский проспект, Пирогова, </w:t>
            </w:r>
          </w:p>
          <w:p w:rsidR="00ED0CBA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Судоремонтная, Рыбацкая Арсеньева</w:t>
            </w:r>
          </w:p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Крабовая, Макарова</w:t>
            </w:r>
          </w:p>
        </w:tc>
        <w:tc>
          <w:tcPr>
            <w:tcW w:w="567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567" w:type="dxa"/>
            <w:shd w:val="clear" w:color="auto" w:fill="auto"/>
          </w:tcPr>
          <w:p w:rsidR="00ED0CBA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D0CBA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, М3, </w:t>
            </w:r>
          </w:p>
          <w:p w:rsidR="00ED0CBA" w:rsidRDefault="00ED0CBA" w:rsidP="007059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Большой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средний, малый</w:t>
            </w:r>
          </w:p>
          <w:p w:rsidR="00ED0CBA" w:rsidRPr="00CD4A03" w:rsidRDefault="00ED0CBA" w:rsidP="0070596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01.10.2014г</w:t>
            </w:r>
          </w:p>
        </w:tc>
        <w:tc>
          <w:tcPr>
            <w:tcW w:w="1637" w:type="dxa"/>
            <w:shd w:val="clear" w:color="auto" w:fill="auto"/>
          </w:tcPr>
          <w:p w:rsidR="00ED0CBA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«Центр развития спорта» 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аходка, переулок Безымянный, 12508054031</w:t>
            </w:r>
          </w:p>
          <w:p w:rsidR="00ED0CBA" w:rsidRPr="00CD4A03" w:rsidRDefault="00ED0CBA" w:rsidP="0070596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Pr="009544CE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ED0CBA" w:rsidRPr="009544CE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1, 2, 3, 4, 5, 6, 7, 8</w:t>
            </w:r>
          </w:p>
        </w:tc>
        <w:tc>
          <w:tcPr>
            <w:tcW w:w="1276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Стадион Водник - мыс Астафьева</w:t>
            </w:r>
          </w:p>
        </w:tc>
        <w:tc>
          <w:tcPr>
            <w:tcW w:w="3118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МЦК, Владивостокская, Луначарского, Заводская, Универмаг, Рыбный порт, Мореходное училище, Гагарина, Стадион Приморец,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Пирогова, 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Горбольница, Универсам Рыбацкий, Арсеньева, Крабовая, Нефтебаза, Подстанция, Лесная, Школьная, Профилакторий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Маяковского, Владивостокская, Луначарского, Находкинский проспект, Пирогова, Рыбацкая, Арсеньева, Крабовая, Макарова, Астафьева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992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, М3, Большой, средний, малый</w:t>
            </w:r>
          </w:p>
        </w:tc>
        <w:tc>
          <w:tcPr>
            <w:tcW w:w="992" w:type="dxa"/>
            <w:shd w:val="clear" w:color="auto" w:fill="auto"/>
          </w:tcPr>
          <w:p w:rsidR="00ED0CBA" w:rsidRPr="001317D2" w:rsidRDefault="00ED0CBA" w:rsidP="009A2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01.10.2014</w:t>
            </w:r>
          </w:p>
        </w:tc>
        <w:tc>
          <w:tcPr>
            <w:tcW w:w="163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Центр развития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 г. Находка, переулок Безымянный, 1</w:t>
            </w:r>
          </w:p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Кафе "Якорь" - пос. Приисковый</w:t>
            </w:r>
          </w:p>
        </w:tc>
        <w:tc>
          <w:tcPr>
            <w:tcW w:w="3118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Универсам, Рынок, Автовокзал, Гостиница, Центральная площадь, Площадь Совершеннолетия, БЭП, Юннатская, Кинопрокат, Пограничная, Спецприемник, Перекресток, В/часть, Восток, Дачи, Золотари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Постышева, Озерный бульвар, проспект Мира, Находкинский проспект, Пограничная, а/д в поселок Приисковый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92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, М3, большой, средний, малый</w:t>
            </w:r>
          </w:p>
        </w:tc>
        <w:tc>
          <w:tcPr>
            <w:tcW w:w="992" w:type="dxa"/>
            <w:shd w:val="clear" w:color="auto" w:fill="auto"/>
          </w:tcPr>
          <w:p w:rsidR="00ED0CBA" w:rsidRPr="001317D2" w:rsidRDefault="00ED0CBA" w:rsidP="009A2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01.10.2014</w:t>
            </w:r>
          </w:p>
        </w:tc>
        <w:tc>
          <w:tcPr>
            <w:tcW w:w="163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ООО "Центр развития спорта", г. Находка, переулок Безымянный, 1</w:t>
            </w:r>
          </w:p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</w:t>
            </w:r>
          </w:p>
        </w:tc>
        <w:tc>
          <w:tcPr>
            <w:tcW w:w="1276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Фрунзе – мыс Астафьева</w:t>
            </w:r>
          </w:p>
        </w:tc>
        <w:tc>
          <w:tcPr>
            <w:tcW w:w="3118" w:type="dxa"/>
            <w:shd w:val="clear" w:color="auto" w:fill="auto"/>
          </w:tcPr>
          <w:p w:rsidR="00ED0CBA" w:rsidRPr="008C3383" w:rsidRDefault="00ED0CBA" w:rsidP="009B340C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8C3383">
              <w:rPr>
                <w:sz w:val="16"/>
                <w:szCs w:val="16"/>
              </w:rPr>
              <w:t>танция Находка, Мебельная фабрика, Л</w:t>
            </w:r>
            <w:r>
              <w:rPr>
                <w:sz w:val="16"/>
                <w:szCs w:val="16"/>
              </w:rPr>
              <w:t>есозавод, Водоканал, Шевченко, П</w:t>
            </w:r>
            <w:r w:rsidRPr="008C3383">
              <w:rPr>
                <w:sz w:val="16"/>
                <w:szCs w:val="16"/>
              </w:rPr>
              <w:t>лощадь Партизан, ЖБК, Бархатная, Автовокзал, Г</w:t>
            </w:r>
            <w:r>
              <w:rPr>
                <w:sz w:val="16"/>
                <w:szCs w:val="16"/>
              </w:rPr>
              <w:t>остиница, Центральная площадь, П</w:t>
            </w:r>
            <w:r w:rsidRPr="008C3383">
              <w:rPr>
                <w:sz w:val="16"/>
                <w:szCs w:val="16"/>
              </w:rPr>
              <w:t xml:space="preserve">лощадь Совершеннолетия, </w:t>
            </w:r>
            <w:r>
              <w:rPr>
                <w:sz w:val="16"/>
                <w:szCs w:val="16"/>
              </w:rPr>
              <w:t>поселок Портовый</w:t>
            </w:r>
            <w:r w:rsidRPr="008C33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8C3383">
              <w:rPr>
                <w:sz w:val="16"/>
                <w:szCs w:val="16"/>
              </w:rPr>
              <w:t xml:space="preserve">Храм, Тихоокеанская, Ленинская, Заводская, Универмаг, Рыбный порт, Мореходное училище, Гагарина, стадион Приморец, Горбольница, </w:t>
            </w:r>
            <w:r>
              <w:rPr>
                <w:sz w:val="16"/>
                <w:szCs w:val="16"/>
              </w:rPr>
              <w:t xml:space="preserve">Пирогова, </w:t>
            </w:r>
            <w:r w:rsidRPr="008C3383">
              <w:rPr>
                <w:sz w:val="16"/>
                <w:szCs w:val="16"/>
              </w:rPr>
              <w:t>Универсам Рыбацкий, Арсеньева, Крабовая, Нефте</w:t>
            </w:r>
            <w:r>
              <w:rPr>
                <w:sz w:val="16"/>
                <w:szCs w:val="16"/>
              </w:rPr>
              <w:t>база, Подстанция</w:t>
            </w:r>
            <w:r w:rsidRPr="008C3383">
              <w:rPr>
                <w:sz w:val="16"/>
                <w:szCs w:val="16"/>
              </w:rPr>
              <w:t>, Лесная, Школьн</w:t>
            </w:r>
            <w:r>
              <w:rPr>
                <w:sz w:val="16"/>
                <w:szCs w:val="16"/>
              </w:rPr>
              <w:t>ая, Профилакторий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D0CBA" w:rsidRPr="008C3383" w:rsidRDefault="00ED0CBA" w:rsidP="006C4A5D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8C3383">
              <w:rPr>
                <w:sz w:val="16"/>
                <w:szCs w:val="16"/>
              </w:rPr>
              <w:t>Автодор</w:t>
            </w:r>
            <w:r>
              <w:rPr>
                <w:sz w:val="16"/>
                <w:szCs w:val="16"/>
              </w:rPr>
              <w:t>ога «Находка – Лазо – Ольга – Ко</w:t>
            </w:r>
            <w:r w:rsidRPr="008C3383">
              <w:rPr>
                <w:sz w:val="16"/>
                <w:szCs w:val="16"/>
              </w:rPr>
              <w:t xml:space="preserve">валерово», Шоссейная, Шевченко, Находкинский проспект, Пирогова, Рыбацкая, Арсеньева, Крабовая, Макарова, Астафьева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ED0CBA" w:rsidRPr="00CD4A03" w:rsidRDefault="00ED0CBA" w:rsidP="009B340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, М3, Малый, средний,  </w:t>
            </w:r>
          </w:p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большой </w:t>
            </w:r>
          </w:p>
        </w:tc>
        <w:tc>
          <w:tcPr>
            <w:tcW w:w="992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01.10.2014г</w:t>
            </w:r>
          </w:p>
        </w:tc>
        <w:tc>
          <w:tcPr>
            <w:tcW w:w="1637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результатам аукциона</w:t>
            </w: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1, 2, 3, 4, 5</w:t>
            </w:r>
          </w:p>
        </w:tc>
        <w:tc>
          <w:tcPr>
            <w:tcW w:w="1276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Автовокзал – село Анна - поселок Южно-Морской</w:t>
            </w:r>
          </w:p>
        </w:tc>
        <w:tc>
          <w:tcPr>
            <w:tcW w:w="3118" w:type="dxa"/>
            <w:shd w:val="clear" w:color="auto" w:fill="auto"/>
          </w:tcPr>
          <w:p w:rsidR="00ED0CBA" w:rsidRPr="00CD4A03" w:rsidRDefault="00ED0CBA" w:rsidP="0088699A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Бархатная, ЖБК, Площадь Партизан, ДСУ, Городское Кладбище, Перевал, Магазин, Душкино,  Дачи Рыбак, Дачи ГСРЗ, Поселок Средняя, Колхозная, ГСРЗ, Ливадия, Авто Полюс, Рыбак, Больница, Южно-Морской, Воинская часть, Анна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Находкинский проспект, Партизанская,  Перевальная, автодорога «Владивосток – Находк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порт Восточный», автодорога «Душкино -Анна», автодорога «Ливадия – Южно-Морской», Гайдамакская</w:t>
            </w:r>
          </w:p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 (51,2 с заходом в село Анна)</w:t>
            </w:r>
          </w:p>
        </w:tc>
        <w:tc>
          <w:tcPr>
            <w:tcW w:w="992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М3, Большой </w:t>
            </w:r>
          </w:p>
        </w:tc>
        <w:tc>
          <w:tcPr>
            <w:tcW w:w="992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01.10.2014г</w:t>
            </w:r>
          </w:p>
        </w:tc>
        <w:tc>
          <w:tcPr>
            <w:tcW w:w="1637" w:type="dxa"/>
            <w:shd w:val="clear" w:color="auto" w:fill="auto"/>
          </w:tcPr>
          <w:p w:rsidR="00ED0CBA" w:rsidRPr="00CD4A03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результатам аукциона</w:t>
            </w: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D0CBA" w:rsidRDefault="00ED0CBA" w:rsidP="0088699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ED0CBA" w:rsidRDefault="00ED0CBA" w:rsidP="0088699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auto"/>
          </w:tcPr>
          <w:p w:rsidR="00ED0CBA" w:rsidRDefault="00ED0CBA" w:rsidP="006C4A5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D0CBA" w:rsidRPr="009544CE" w:rsidTr="00D93372">
        <w:tc>
          <w:tcPr>
            <w:tcW w:w="567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D0CBA" w:rsidRDefault="00ED0CBA" w:rsidP="00FE69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1, 2, 3, 4, 5, 6</w:t>
            </w:r>
          </w:p>
        </w:tc>
        <w:tc>
          <w:tcPr>
            <w:tcW w:w="1276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Автовокзал - поселок Первостроит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елей</w:t>
            </w:r>
          </w:p>
        </w:tc>
        <w:tc>
          <w:tcPr>
            <w:tcW w:w="3118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Бархатная, ЖБК, Площадь Партизан, Шевченко, Водоканал, Лесозавод, Мебельная фабрика, Станция 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Находка, Фрунзе, Радиоцентр, Монакино, Бухта Лашкевича, Багульник, дачи 8 км, Пляж Песчаный.</w:t>
            </w:r>
            <w:proofErr w:type="gramEnd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Морская, Рынок, Аптека, Детская поликлиника, Группа домов, Пождепо, МПС, Угольный комплекс, Синтал, Подстанция, Перекресток, ГПТУ, ММТ, ВНТК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Находкинский проспект, Шевченко, Шоссейная, 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автодорога "Находка - Лазо - Ольга - Кавалерово", автодорога "Артем - Находка - порт Восточный", проспект Восточный, Бабкина, Крайнева, проспект Первостроителей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35,2</w:t>
            </w:r>
          </w:p>
        </w:tc>
        <w:tc>
          <w:tcPr>
            <w:tcW w:w="992" w:type="dxa"/>
            <w:shd w:val="clear" w:color="auto" w:fill="auto"/>
          </w:tcPr>
          <w:p w:rsidR="00ED0CBA" w:rsidRPr="001317D2" w:rsidRDefault="00ED0CBA" w:rsidP="009540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D0CBA" w:rsidRPr="00120381" w:rsidRDefault="00ED0CBA" w:rsidP="006C4A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381">
              <w:rPr>
                <w:rFonts w:ascii="Times New Roman" w:hAnsi="Times New Roman" w:cs="Times New Roman"/>
                <w:sz w:val="18"/>
                <w:szCs w:val="18"/>
              </w:rPr>
              <w:t>Регулярные перев</w:t>
            </w:r>
            <w:r w:rsidRPr="00120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озки по регулируемым тарифам</w:t>
            </w:r>
          </w:p>
        </w:tc>
        <w:tc>
          <w:tcPr>
            <w:tcW w:w="567" w:type="dxa"/>
            <w:shd w:val="clear" w:color="auto" w:fill="auto"/>
          </w:tcPr>
          <w:p w:rsidR="00ED0CBA" w:rsidRPr="001317D2" w:rsidRDefault="00ED0CBA" w:rsidP="00CD2C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М3, большой</w:t>
            </w:r>
          </w:p>
        </w:tc>
        <w:tc>
          <w:tcPr>
            <w:tcW w:w="992" w:type="dxa"/>
            <w:shd w:val="clear" w:color="auto" w:fill="auto"/>
          </w:tcPr>
          <w:p w:rsidR="00ED0CBA" w:rsidRPr="001317D2" w:rsidRDefault="00ED0CBA" w:rsidP="009540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//</w:t>
            </w:r>
          </w:p>
        </w:tc>
        <w:tc>
          <w:tcPr>
            <w:tcW w:w="1134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01.10.2014</w:t>
            </w:r>
          </w:p>
        </w:tc>
        <w:tc>
          <w:tcPr>
            <w:tcW w:w="1637" w:type="dxa"/>
            <w:shd w:val="clear" w:color="auto" w:fill="auto"/>
          </w:tcPr>
          <w:p w:rsidR="00ED0CBA" w:rsidRPr="001317D2" w:rsidRDefault="00ED0CBA" w:rsidP="006C4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результатам аукциона</w:t>
            </w:r>
          </w:p>
        </w:tc>
      </w:tr>
    </w:tbl>
    <w:p w:rsidR="00145DB7" w:rsidRDefault="00145DB7" w:rsidP="00D93372">
      <w:pPr>
        <w:rPr>
          <w:sz w:val="26"/>
          <w:szCs w:val="26"/>
        </w:rPr>
      </w:pPr>
    </w:p>
    <w:sectPr w:rsidR="00145DB7" w:rsidSect="00D93372">
      <w:pgSz w:w="16838" w:h="11906" w:orient="landscape"/>
      <w:pgMar w:top="1560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0C" w:rsidRDefault="00935C0C" w:rsidP="001B017A">
      <w:r>
        <w:separator/>
      </w:r>
    </w:p>
  </w:endnote>
  <w:endnote w:type="continuationSeparator" w:id="0">
    <w:p w:rsidR="00935C0C" w:rsidRDefault="00935C0C" w:rsidP="001B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0C" w:rsidRDefault="00935C0C" w:rsidP="001B017A">
      <w:r>
        <w:separator/>
      </w:r>
    </w:p>
  </w:footnote>
  <w:footnote w:type="continuationSeparator" w:id="0">
    <w:p w:rsidR="00935C0C" w:rsidRDefault="00935C0C" w:rsidP="001B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7A" w:rsidRDefault="00D93372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CF8"/>
    <w:multiLevelType w:val="hybridMultilevel"/>
    <w:tmpl w:val="74322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46248"/>
    <w:multiLevelType w:val="multilevel"/>
    <w:tmpl w:val="AB7E9C3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</w:rPr>
    </w:lvl>
  </w:abstractNum>
  <w:abstractNum w:abstractNumId="2">
    <w:nsid w:val="6A3714CF"/>
    <w:multiLevelType w:val="multilevel"/>
    <w:tmpl w:val="30581B00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92"/>
    <w:rsid w:val="00026AC6"/>
    <w:rsid w:val="0002745B"/>
    <w:rsid w:val="00034A08"/>
    <w:rsid w:val="0004390F"/>
    <w:rsid w:val="00053539"/>
    <w:rsid w:val="00073D88"/>
    <w:rsid w:val="00096614"/>
    <w:rsid w:val="000A2F76"/>
    <w:rsid w:val="00120381"/>
    <w:rsid w:val="0012320A"/>
    <w:rsid w:val="0013681D"/>
    <w:rsid w:val="00145DB7"/>
    <w:rsid w:val="00150C53"/>
    <w:rsid w:val="001A1608"/>
    <w:rsid w:val="001B017A"/>
    <w:rsid w:val="001B1C38"/>
    <w:rsid w:val="001C1E0B"/>
    <w:rsid w:val="001E491C"/>
    <w:rsid w:val="001E62F6"/>
    <w:rsid w:val="001F38AD"/>
    <w:rsid w:val="00205B39"/>
    <w:rsid w:val="0021255E"/>
    <w:rsid w:val="00221CA7"/>
    <w:rsid w:val="002278EF"/>
    <w:rsid w:val="00231C8B"/>
    <w:rsid w:val="0025256D"/>
    <w:rsid w:val="002B294E"/>
    <w:rsid w:val="002C2764"/>
    <w:rsid w:val="00301967"/>
    <w:rsid w:val="0030469A"/>
    <w:rsid w:val="00323189"/>
    <w:rsid w:val="00353808"/>
    <w:rsid w:val="00356BFF"/>
    <w:rsid w:val="0037348B"/>
    <w:rsid w:val="003807E6"/>
    <w:rsid w:val="003B6AA5"/>
    <w:rsid w:val="003C0EDF"/>
    <w:rsid w:val="003E019C"/>
    <w:rsid w:val="003E661B"/>
    <w:rsid w:val="003F595C"/>
    <w:rsid w:val="00431DF5"/>
    <w:rsid w:val="004865B7"/>
    <w:rsid w:val="004C5D3A"/>
    <w:rsid w:val="00506A1A"/>
    <w:rsid w:val="005160B7"/>
    <w:rsid w:val="0053129A"/>
    <w:rsid w:val="00551A0E"/>
    <w:rsid w:val="00554ED1"/>
    <w:rsid w:val="005B0FB4"/>
    <w:rsid w:val="005B334F"/>
    <w:rsid w:val="005B4DEE"/>
    <w:rsid w:val="005C3172"/>
    <w:rsid w:val="005E01AD"/>
    <w:rsid w:val="005E5801"/>
    <w:rsid w:val="00604130"/>
    <w:rsid w:val="00636498"/>
    <w:rsid w:val="00644F8F"/>
    <w:rsid w:val="006674C9"/>
    <w:rsid w:val="006764E1"/>
    <w:rsid w:val="0068666A"/>
    <w:rsid w:val="006C4A5D"/>
    <w:rsid w:val="006D248E"/>
    <w:rsid w:val="006F38CC"/>
    <w:rsid w:val="0070596D"/>
    <w:rsid w:val="007209FB"/>
    <w:rsid w:val="007373A7"/>
    <w:rsid w:val="0076218A"/>
    <w:rsid w:val="00781151"/>
    <w:rsid w:val="007D6861"/>
    <w:rsid w:val="007F4CC4"/>
    <w:rsid w:val="00801E02"/>
    <w:rsid w:val="0081547F"/>
    <w:rsid w:val="00837BF2"/>
    <w:rsid w:val="008669E1"/>
    <w:rsid w:val="008701E3"/>
    <w:rsid w:val="0087591E"/>
    <w:rsid w:val="0088699A"/>
    <w:rsid w:val="008C123E"/>
    <w:rsid w:val="008D501D"/>
    <w:rsid w:val="008E075B"/>
    <w:rsid w:val="008E2733"/>
    <w:rsid w:val="00922FE6"/>
    <w:rsid w:val="00923F51"/>
    <w:rsid w:val="00926A2A"/>
    <w:rsid w:val="00935C0C"/>
    <w:rsid w:val="00937AC2"/>
    <w:rsid w:val="009422AE"/>
    <w:rsid w:val="009478E2"/>
    <w:rsid w:val="009506A7"/>
    <w:rsid w:val="00954004"/>
    <w:rsid w:val="009544CE"/>
    <w:rsid w:val="00964FCF"/>
    <w:rsid w:val="00990FDD"/>
    <w:rsid w:val="009A229C"/>
    <w:rsid w:val="009A6DDC"/>
    <w:rsid w:val="009B2B7A"/>
    <w:rsid w:val="009B340C"/>
    <w:rsid w:val="009C4E75"/>
    <w:rsid w:val="009D50C6"/>
    <w:rsid w:val="00A03958"/>
    <w:rsid w:val="00A06578"/>
    <w:rsid w:val="00A208DC"/>
    <w:rsid w:val="00A230B3"/>
    <w:rsid w:val="00A61928"/>
    <w:rsid w:val="00A61978"/>
    <w:rsid w:val="00A97322"/>
    <w:rsid w:val="00AB4AC0"/>
    <w:rsid w:val="00AB6303"/>
    <w:rsid w:val="00AE28B0"/>
    <w:rsid w:val="00B1163A"/>
    <w:rsid w:val="00B310FF"/>
    <w:rsid w:val="00B6699B"/>
    <w:rsid w:val="00B75734"/>
    <w:rsid w:val="00BA055D"/>
    <w:rsid w:val="00BB1FC9"/>
    <w:rsid w:val="00BB5092"/>
    <w:rsid w:val="00BE6512"/>
    <w:rsid w:val="00BF0B43"/>
    <w:rsid w:val="00BF23BB"/>
    <w:rsid w:val="00C17A25"/>
    <w:rsid w:val="00C24724"/>
    <w:rsid w:val="00C46231"/>
    <w:rsid w:val="00C61D08"/>
    <w:rsid w:val="00C7678C"/>
    <w:rsid w:val="00CA2BB3"/>
    <w:rsid w:val="00CD2C89"/>
    <w:rsid w:val="00CE038A"/>
    <w:rsid w:val="00CE1868"/>
    <w:rsid w:val="00CF2F41"/>
    <w:rsid w:val="00D765FF"/>
    <w:rsid w:val="00D906C7"/>
    <w:rsid w:val="00D93372"/>
    <w:rsid w:val="00DC1F5E"/>
    <w:rsid w:val="00DC212E"/>
    <w:rsid w:val="00DF162A"/>
    <w:rsid w:val="00E00A30"/>
    <w:rsid w:val="00E10A8B"/>
    <w:rsid w:val="00E13642"/>
    <w:rsid w:val="00E24D99"/>
    <w:rsid w:val="00E266CE"/>
    <w:rsid w:val="00E47D65"/>
    <w:rsid w:val="00E874D6"/>
    <w:rsid w:val="00ED07B7"/>
    <w:rsid w:val="00ED0CBA"/>
    <w:rsid w:val="00EF6F18"/>
    <w:rsid w:val="00F1068C"/>
    <w:rsid w:val="00F37F40"/>
    <w:rsid w:val="00F4092E"/>
    <w:rsid w:val="00F47125"/>
    <w:rsid w:val="00F56608"/>
    <w:rsid w:val="00F73274"/>
    <w:rsid w:val="00F8319C"/>
    <w:rsid w:val="00F938F2"/>
    <w:rsid w:val="00FA09E9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0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017A"/>
    <w:rPr>
      <w:sz w:val="24"/>
      <w:szCs w:val="24"/>
    </w:rPr>
  </w:style>
  <w:style w:type="paragraph" w:styleId="a6">
    <w:name w:val="footer"/>
    <w:basedOn w:val="a"/>
    <w:link w:val="a7"/>
    <w:rsid w:val="001B0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B017A"/>
    <w:rPr>
      <w:sz w:val="24"/>
      <w:szCs w:val="24"/>
    </w:rPr>
  </w:style>
  <w:style w:type="paragraph" w:styleId="a8">
    <w:name w:val="Body Text"/>
    <w:basedOn w:val="a"/>
    <w:link w:val="a9"/>
    <w:unhideWhenUsed/>
    <w:rsid w:val="00E00A3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E00A30"/>
    <w:rPr>
      <w:b/>
      <w:bCs/>
      <w:sz w:val="28"/>
      <w:szCs w:val="24"/>
    </w:rPr>
  </w:style>
  <w:style w:type="paragraph" w:styleId="aa">
    <w:name w:val="Balloon Text"/>
    <w:basedOn w:val="a"/>
    <w:link w:val="ab"/>
    <w:rsid w:val="00026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26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340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0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017A"/>
    <w:rPr>
      <w:sz w:val="24"/>
      <w:szCs w:val="24"/>
    </w:rPr>
  </w:style>
  <w:style w:type="paragraph" w:styleId="a6">
    <w:name w:val="footer"/>
    <w:basedOn w:val="a"/>
    <w:link w:val="a7"/>
    <w:rsid w:val="001B0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B017A"/>
    <w:rPr>
      <w:sz w:val="24"/>
      <w:szCs w:val="24"/>
    </w:rPr>
  </w:style>
  <w:style w:type="paragraph" w:styleId="a8">
    <w:name w:val="Body Text"/>
    <w:basedOn w:val="a"/>
    <w:link w:val="a9"/>
    <w:unhideWhenUsed/>
    <w:rsid w:val="00E00A3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rsid w:val="00E00A30"/>
    <w:rPr>
      <w:b/>
      <w:bCs/>
      <w:sz w:val="28"/>
      <w:szCs w:val="24"/>
    </w:rPr>
  </w:style>
  <w:style w:type="paragraph" w:styleId="aa">
    <w:name w:val="Balloon Text"/>
    <w:basedOn w:val="a"/>
    <w:link w:val="ab"/>
    <w:rsid w:val="00026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26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340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8B68-BDC9-4AAD-97C3-CFB7C528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Орлова Валерия Сергеевна</cp:lastModifiedBy>
  <cp:revision>2</cp:revision>
  <cp:lastPrinted>2024-10-10T04:04:00Z</cp:lastPrinted>
  <dcterms:created xsi:type="dcterms:W3CDTF">2024-10-28T03:08:00Z</dcterms:created>
  <dcterms:modified xsi:type="dcterms:W3CDTF">2024-10-28T03:08:00Z</dcterms:modified>
</cp:coreProperties>
</file>