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88" w:rsidRDefault="00383388">
      <w:pPr>
        <w:rPr>
          <w:rFonts w:ascii="Times New Roman" w:hAnsi="Times New Roman"/>
          <w:color w:val="191919"/>
          <w:sz w:val="24"/>
        </w:rPr>
      </w:pPr>
    </w:p>
    <w:p w:rsidR="00383388" w:rsidRDefault="009C53EF">
      <w:pPr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b/>
          <w:bCs/>
          <w:color w:val="191919"/>
          <w:sz w:val="24"/>
        </w:rPr>
        <w:t xml:space="preserve">ПАМЯТКА ПО ВКЛЮЧЕНИЮ В СХЕМУ РАЗМЕЩЕНИЯ </w:t>
      </w:r>
    </w:p>
    <w:p w:rsidR="00383388" w:rsidRPr="009C53EF" w:rsidRDefault="009C53EF">
      <w:pPr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b/>
          <w:bCs/>
          <w:color w:val="191919"/>
          <w:sz w:val="24"/>
        </w:rPr>
        <w:t>НЕСТАЦИОНАРНЫХ ТОРГОВЫХ ОБЪЕКТОВ НА ТЕРРИТОРИИ НАХОДКИНСКОГО ГОРОДСКОГО ОКРУГА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ab/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 xml:space="preserve">Данная памятка разработана для хозяйствующих субъектов, заинтересованных во включении         в схему размещения нестационарных торговых объектов на территории муниципальных образований Приморского края (далее - Схема). </w:t>
      </w:r>
    </w:p>
    <w:p w:rsidR="00383388" w:rsidRDefault="00383388">
      <w:pPr>
        <w:jc w:val="both"/>
        <w:rPr>
          <w:rFonts w:ascii="Times New Roman" w:hAnsi="Times New Roman"/>
          <w:color w:val="191919"/>
          <w:sz w:val="24"/>
        </w:rPr>
      </w:pP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>ПРАВОВАЯ ОСНОВА</w:t>
      </w:r>
    </w:p>
    <w:p w:rsidR="00383388" w:rsidRPr="009C53EF" w:rsidRDefault="009C53EF">
      <w:pPr>
        <w:jc w:val="both"/>
        <w:rPr>
          <w:rFonts w:ascii="Times New Roman" w:hAnsi="Times New Roman"/>
          <w:color w:val="191919"/>
          <w:sz w:val="24"/>
        </w:rPr>
      </w:pPr>
      <w:r w:rsidRPr="009C53EF">
        <w:rPr>
          <w:rFonts w:ascii="Times New Roman" w:hAnsi="Times New Roman"/>
          <w:color w:val="191919"/>
          <w:sz w:val="24"/>
        </w:rPr>
        <w:t>✅ Федеральный закон № 381-ФЗ от 28.12.2009 «Об основах государственного регулирования торговой деятельности в РФ».</w:t>
      </w:r>
    </w:p>
    <w:p w:rsidR="00383388" w:rsidRPr="009C53EF" w:rsidRDefault="009C53EF">
      <w:pPr>
        <w:jc w:val="both"/>
        <w:rPr>
          <w:rFonts w:ascii="Times New Roman" w:hAnsi="Times New Roman"/>
          <w:color w:val="191919"/>
          <w:sz w:val="24"/>
        </w:rPr>
      </w:pPr>
      <w:r w:rsidRPr="009C53EF">
        <w:rPr>
          <w:rFonts w:ascii="Times New Roman" w:hAnsi="Times New Roman"/>
          <w:color w:val="191919"/>
          <w:sz w:val="24"/>
        </w:rPr>
        <w:t>✅ Федеральный закон № 131-ФЗ от 06.10.2003 «Об общих принципах организации местного самоуправления в Российской Федерации».</w:t>
      </w:r>
    </w:p>
    <w:p w:rsidR="00383388" w:rsidRPr="009C53EF" w:rsidRDefault="009C53EF">
      <w:pPr>
        <w:jc w:val="both"/>
        <w:rPr>
          <w:rFonts w:ascii="Times New Roman" w:hAnsi="Times New Roman"/>
          <w:color w:val="191919"/>
          <w:sz w:val="24"/>
        </w:rPr>
      </w:pPr>
      <w:r w:rsidRPr="009C53EF">
        <w:rPr>
          <w:rFonts w:ascii="Times New Roman" w:hAnsi="Times New Roman"/>
          <w:color w:val="191919"/>
          <w:sz w:val="24"/>
        </w:rPr>
        <w:t>✅ Федеральный закон № 135-ФЗ от 26.07.2006 «О защите конкуренции».</w:t>
      </w:r>
    </w:p>
    <w:p w:rsidR="009C53EF" w:rsidRPr="009C53EF" w:rsidRDefault="009C53EF" w:rsidP="009C53EF">
      <w:pPr>
        <w:jc w:val="both"/>
        <w:rPr>
          <w:rFonts w:ascii="Times New Roman" w:hAnsi="Times New Roman" w:cs="Times New Roman"/>
          <w:color w:val="191919"/>
          <w:sz w:val="24"/>
        </w:rPr>
      </w:pPr>
      <w:r w:rsidRPr="009C53EF">
        <w:rPr>
          <w:rFonts w:ascii="Times New Roman" w:hAnsi="Times New Roman"/>
          <w:color w:val="191919"/>
          <w:sz w:val="24"/>
        </w:rPr>
        <w:t xml:space="preserve">✅ Приказ департамента лицензирования и торговли Приморского края №114 от 15.12.2015 </w:t>
      </w:r>
      <w:r w:rsidRPr="009C53EF">
        <w:rPr>
          <w:rFonts w:ascii="Times New Roman" w:hAnsi="Times New Roman" w:cs="Times New Roman"/>
          <w:sz w:val="24"/>
        </w:rPr>
        <w:t>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</w:t>
      </w:r>
      <w:r w:rsidRPr="009C53EF">
        <w:rPr>
          <w:rFonts w:ascii="Times New Roman" w:hAnsi="Times New Roman" w:cs="Times New Roman"/>
          <w:color w:val="191919"/>
          <w:sz w:val="24"/>
        </w:rPr>
        <w:t>.</w:t>
      </w:r>
    </w:p>
    <w:p w:rsidR="009C53EF" w:rsidRPr="009C53EF" w:rsidRDefault="009C53EF">
      <w:pPr>
        <w:jc w:val="both"/>
        <w:rPr>
          <w:rFonts w:ascii="Times New Roman" w:hAnsi="Times New Roman"/>
          <w:color w:val="191919"/>
          <w:sz w:val="24"/>
        </w:rPr>
      </w:pPr>
      <w:r w:rsidRPr="009C53EF">
        <w:rPr>
          <w:rFonts w:ascii="Times New Roman" w:hAnsi="Times New Roman"/>
          <w:color w:val="191919"/>
          <w:sz w:val="24"/>
        </w:rPr>
        <w:t xml:space="preserve">✅ Постановление Администрации Приморского края № 171-па от 17.04.2018 </w:t>
      </w:r>
      <w:r w:rsidRPr="009C53EF">
        <w:rPr>
          <w:rFonts w:ascii="Times New Roman" w:hAnsi="Times New Roman"/>
          <w:i/>
          <w:iCs/>
          <w:color w:val="191919"/>
          <w:sz w:val="24"/>
        </w:rPr>
        <w:t>«</w:t>
      </w:r>
      <w:r w:rsidRPr="009C53EF">
        <w:rPr>
          <w:rFonts w:ascii="Times New Roman" w:hAnsi="Times New Roman"/>
          <w:iCs/>
          <w:color w:val="191919"/>
          <w:sz w:val="24"/>
        </w:rPr>
        <w:t>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</w:t>
      </w:r>
      <w:r w:rsidRPr="009C53EF">
        <w:rPr>
          <w:rFonts w:ascii="Times New Roman" w:hAnsi="Times New Roman"/>
          <w:i/>
          <w:iCs/>
          <w:color w:val="191919"/>
          <w:sz w:val="24"/>
        </w:rPr>
        <w:t>»</w:t>
      </w:r>
      <w:r w:rsidRPr="009C53EF">
        <w:rPr>
          <w:rFonts w:ascii="Times New Roman" w:hAnsi="Times New Roman"/>
          <w:iCs/>
          <w:color w:val="191919"/>
          <w:sz w:val="24"/>
        </w:rPr>
        <w:t>.</w:t>
      </w:r>
    </w:p>
    <w:p w:rsidR="009C53EF" w:rsidRPr="009C53EF" w:rsidRDefault="009C53EF">
      <w:pPr>
        <w:jc w:val="both"/>
        <w:rPr>
          <w:sz w:val="24"/>
        </w:rPr>
      </w:pPr>
      <w:r w:rsidRPr="009C53EF">
        <w:rPr>
          <w:rFonts w:ascii="Times New Roman" w:hAnsi="Times New Roman"/>
          <w:color w:val="191919"/>
          <w:sz w:val="24"/>
        </w:rPr>
        <w:t>✅ Постановление Администрации Находкинского городского округа №619 от 12.04.2019 «</w:t>
      </w:r>
      <w:r w:rsidRPr="009C53EF">
        <w:rPr>
          <w:sz w:val="24"/>
        </w:rPr>
        <w:t>Об утверждении порядка,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округа, платы за размещение нестационарных торговых объектов на территории Находкинского городского округа».</w:t>
      </w:r>
    </w:p>
    <w:p w:rsidR="009C53EF" w:rsidRPr="009C53EF" w:rsidRDefault="009C53EF">
      <w:pPr>
        <w:jc w:val="both"/>
        <w:rPr>
          <w:rFonts w:ascii="Times New Roman" w:hAnsi="Times New Roman"/>
          <w:color w:val="191919"/>
          <w:sz w:val="24"/>
        </w:rPr>
      </w:pPr>
      <w:r w:rsidRPr="009C53EF">
        <w:rPr>
          <w:rFonts w:ascii="Times New Roman" w:hAnsi="Times New Roman" w:cs="Times New Roman"/>
          <w:color w:val="191919"/>
          <w:sz w:val="24"/>
        </w:rPr>
        <w:t xml:space="preserve">✅ </w:t>
      </w:r>
      <w:r w:rsidRPr="009C53EF">
        <w:rPr>
          <w:rFonts w:ascii="Times New Roman" w:hAnsi="Times New Roman"/>
          <w:color w:val="191919"/>
          <w:sz w:val="24"/>
        </w:rPr>
        <w:t>Постановление Администрации Находкинского городского округа № 620 от 12.04.2019 «</w:t>
      </w:r>
      <w:r w:rsidRPr="009C53EF">
        <w:rPr>
          <w:sz w:val="24"/>
        </w:rPr>
        <w:t>Об утверждении Порядка проведения аукциона, определения победителя, а также порядка и сроков включения претендентов в схему размещения нестационарных торговых объектов на территории Находкинского городского округа».</w:t>
      </w:r>
    </w:p>
    <w:p w:rsidR="00383388" w:rsidRDefault="00383388">
      <w:pPr>
        <w:jc w:val="both"/>
        <w:rPr>
          <w:sz w:val="24"/>
        </w:rPr>
      </w:pP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 xml:space="preserve">🏆 ПРОЦЕДУРЫ ОТБОРА 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>Вариант 1: БЕЗ АУКЦИОНА (льготные категории претендентов):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 xml:space="preserve">🌾 Сельскохозяйственные товаропроизводители  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 xml:space="preserve">🚜 Крестьянские (фермерские) хозяйства 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 xml:space="preserve">🏪 Организации потребительской кооперации (субъекты МСП) 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 xml:space="preserve">👤 Физические </w:t>
      </w:r>
      <w:proofErr w:type="gramStart"/>
      <w:r>
        <w:rPr>
          <w:rFonts w:ascii="Times New Roman" w:hAnsi="Times New Roman"/>
          <w:color w:val="191919"/>
          <w:sz w:val="24"/>
        </w:rPr>
        <w:t>лица</w:t>
      </w:r>
      <w:proofErr w:type="gramEnd"/>
      <w:r>
        <w:rPr>
          <w:rFonts w:ascii="Times New Roman" w:hAnsi="Times New Roman"/>
          <w:color w:val="191919"/>
          <w:sz w:val="24"/>
        </w:rPr>
        <w:t xml:space="preserve"> применяющие специальный налоговый режим «Налог на профессиональный доход» (</w:t>
      </w:r>
      <w:proofErr w:type="spellStart"/>
      <w:r>
        <w:rPr>
          <w:rFonts w:ascii="Times New Roman" w:hAnsi="Times New Roman"/>
          <w:color w:val="191919"/>
          <w:sz w:val="24"/>
        </w:rPr>
        <w:t>самозанятые</w:t>
      </w:r>
      <w:proofErr w:type="spellEnd"/>
      <w:r>
        <w:rPr>
          <w:rFonts w:ascii="Times New Roman" w:hAnsi="Times New Roman"/>
          <w:color w:val="191919"/>
          <w:sz w:val="24"/>
        </w:rPr>
        <w:t>)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>- подача заявления  в уполномоченный орган местного самоуправления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>- рассмотрение заявки комиссией  по отбору претендентов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>- при положительном решении - подписание соглашения о размещении НТО между хозяйствующим субъектом и муниципальным образованием (далее - соглашение)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iCs/>
          <w:color w:val="191919"/>
          <w:sz w:val="24"/>
        </w:rPr>
        <w:t xml:space="preserve">- при </w:t>
      </w:r>
      <w:proofErr w:type="gramStart"/>
      <w:r>
        <w:rPr>
          <w:rFonts w:ascii="Times New Roman" w:hAnsi="Times New Roman"/>
          <w:iCs/>
          <w:color w:val="191919"/>
          <w:sz w:val="24"/>
        </w:rPr>
        <w:t>отрицательном</w:t>
      </w:r>
      <w:proofErr w:type="gramEnd"/>
      <w:r>
        <w:rPr>
          <w:rFonts w:ascii="Times New Roman" w:hAnsi="Times New Roman"/>
          <w:iCs/>
          <w:color w:val="191919"/>
          <w:sz w:val="24"/>
        </w:rPr>
        <w:t xml:space="preserve"> решение - уведомление с указанием перечня причин отказа, в</w:t>
      </w:r>
      <w:r>
        <w:rPr>
          <w:rFonts w:ascii="Times New Roman" w:hAnsi="Times New Roman"/>
          <w:color w:val="191919"/>
          <w:sz w:val="24"/>
        </w:rPr>
        <w:t>озможно повторное обращение</w:t>
      </w:r>
    </w:p>
    <w:p w:rsidR="00383388" w:rsidRDefault="00383388">
      <w:pPr>
        <w:jc w:val="both"/>
        <w:rPr>
          <w:rFonts w:ascii="Times New Roman" w:hAnsi="Times New Roman"/>
          <w:color w:val="191919"/>
          <w:sz w:val="24"/>
        </w:rPr>
      </w:pP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 xml:space="preserve">Вариант 2: АУКЦИОН 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 xml:space="preserve">✏️ Юридические лица 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 xml:space="preserve">👤 Индивидуальные предприниматели 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>- подача заявления в уполномоченный орган местного самоуправления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>- рассмотрение заявки комиссией  по отбору претендентов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>- уведомление хозяйствующего субъекта о принятом решении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proofErr w:type="gramStart"/>
      <w:r>
        <w:rPr>
          <w:rFonts w:ascii="Times New Roman" w:hAnsi="Times New Roman"/>
          <w:color w:val="191919"/>
          <w:sz w:val="24"/>
        </w:rPr>
        <w:t xml:space="preserve">- проведении аукциона (в случае открытого аукциона, извещение о проведении размещается в </w:t>
      </w:r>
      <w:r>
        <w:rPr>
          <w:rFonts w:ascii="Times New Roman" w:hAnsi="Times New Roman"/>
          <w:color w:val="191919"/>
          <w:sz w:val="24"/>
        </w:rPr>
        <w:lastRenderedPageBreak/>
        <w:t>информационно - телекоммуникационной сети «Интернет» на официальном сайте о проведении торгов  ГИС Торги (далее - ГИС Торги)</w:t>
      </w:r>
      <w:proofErr w:type="gramEnd"/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>- при положительном решении - включение в Схему и подписание соглашения о размещении НТО между хозяйствующим субъектом и муниципальным образованием (далее - соглашение)</w:t>
      </w:r>
    </w:p>
    <w:p w:rsidR="00383388" w:rsidRDefault="009C53EF">
      <w:pPr>
        <w:jc w:val="both"/>
      </w:pPr>
      <w:r>
        <w:rPr>
          <w:rFonts w:ascii="Times New Roman" w:hAnsi="Times New Roman"/>
          <w:iCs/>
          <w:color w:val="191919"/>
          <w:sz w:val="24"/>
        </w:rPr>
        <w:t xml:space="preserve">- при </w:t>
      </w:r>
      <w:proofErr w:type="gramStart"/>
      <w:r>
        <w:rPr>
          <w:rFonts w:ascii="Times New Roman" w:hAnsi="Times New Roman"/>
          <w:iCs/>
          <w:color w:val="191919"/>
          <w:sz w:val="24"/>
        </w:rPr>
        <w:t>отрицательном</w:t>
      </w:r>
      <w:proofErr w:type="gramEnd"/>
      <w:r>
        <w:rPr>
          <w:rFonts w:ascii="Times New Roman" w:hAnsi="Times New Roman"/>
          <w:iCs/>
          <w:color w:val="191919"/>
          <w:sz w:val="24"/>
        </w:rPr>
        <w:t xml:space="preserve"> решение - уведомление с указанием перечня причин отказа, в</w:t>
      </w:r>
      <w:r>
        <w:rPr>
          <w:rFonts w:ascii="Times New Roman" w:hAnsi="Times New Roman"/>
          <w:color w:val="191919"/>
          <w:sz w:val="24"/>
        </w:rPr>
        <w:t>озможно повторное обращение</w:t>
      </w:r>
    </w:p>
    <w:p w:rsidR="00383388" w:rsidRDefault="00383388">
      <w:pPr>
        <w:jc w:val="both"/>
        <w:rPr>
          <w:rFonts w:ascii="Times New Roman" w:hAnsi="Times New Roman"/>
          <w:color w:val="191919"/>
          <w:sz w:val="24"/>
        </w:rPr>
      </w:pP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 xml:space="preserve">⚠️ </w:t>
      </w:r>
      <w:bookmarkStart w:id="0" w:name="_GoBack"/>
      <w:bookmarkEnd w:id="0"/>
      <w:r>
        <w:rPr>
          <w:rFonts w:ascii="Times New Roman" w:hAnsi="Times New Roman"/>
          <w:color w:val="191919"/>
          <w:sz w:val="24"/>
        </w:rPr>
        <w:t xml:space="preserve">ОСНОВАНИЯ ДЛЯ ВОЗВРАТА ЗАЯВЛЕНИЯ 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 xml:space="preserve">📝 Несоответствие установленной форме 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 xml:space="preserve">🔍 Неразборчивый текст заявления 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 xml:space="preserve">❓ Неполнота или недостоверность сведений 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🚧 </w:t>
      </w:r>
      <w:r w:rsidR="00983806">
        <w:rPr>
          <w:rFonts w:ascii="Times New Roman" w:hAnsi="Times New Roman"/>
          <w:color w:val="191919"/>
          <w:sz w:val="24"/>
        </w:rPr>
        <w:t>М</w:t>
      </w:r>
      <w:r>
        <w:rPr>
          <w:rFonts w:ascii="Times New Roman" w:hAnsi="Times New Roman"/>
          <w:color w:val="191919"/>
          <w:sz w:val="24"/>
        </w:rPr>
        <w:t xml:space="preserve">есто в схеме исключено </w:t>
      </w:r>
    </w:p>
    <w:p w:rsidR="00383388" w:rsidRDefault="00383388">
      <w:pPr>
        <w:jc w:val="both"/>
        <w:rPr>
          <w:rFonts w:ascii="Times New Roman" w:hAnsi="Times New Roman"/>
          <w:color w:val="191919"/>
          <w:sz w:val="24"/>
        </w:rPr>
      </w:pP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 xml:space="preserve">💡 ПОЛЕЗНЫЕ СОВЕТЫ 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iCs/>
          <w:color w:val="191919"/>
          <w:sz w:val="24"/>
        </w:rPr>
        <w:t xml:space="preserve">✅ Заполнение заявления по форме установленной Порядком № 171-па от 17.04.2018 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>- приложение № 1 в случае если место размещения НТО включено в Схему и является свободным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>- приложение № 2 в случае если место размещения НТО не предусмотрено Схемой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000000"/>
          <w:sz w:val="24"/>
        </w:rPr>
        <w:t>🏪</w:t>
      </w:r>
      <w:r>
        <w:rPr>
          <w:rFonts w:ascii="Times New Roman" w:hAnsi="Times New Roman"/>
          <w:color w:val="191919"/>
          <w:sz w:val="24"/>
        </w:rPr>
        <w:t xml:space="preserve"> Актуальные схемы размещения НТО, сроки подачи заявлений, этапы рассмотрения заявлений - размещаются на официальных сайтах органов местного самоуправления</w:t>
      </w:r>
    </w:p>
    <w:p w:rsidR="00383388" w:rsidRDefault="009C53EF">
      <w:pPr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📞 </w:t>
      </w:r>
      <w:r>
        <w:rPr>
          <w:rFonts w:ascii="Times New Roman" w:hAnsi="Times New Roman"/>
          <w:color w:val="191919"/>
          <w:sz w:val="24"/>
        </w:rPr>
        <w:t xml:space="preserve">Дополнительную информацию можно получить у специалистов органов местного самоуправления </w:t>
      </w:r>
    </w:p>
    <w:p w:rsidR="00383388" w:rsidRDefault="00383388">
      <w:pPr>
        <w:jc w:val="both"/>
      </w:pPr>
    </w:p>
    <w:p w:rsidR="00383388" w:rsidRDefault="00383388">
      <w:pPr>
        <w:jc w:val="both"/>
        <w:rPr>
          <w:rFonts w:ascii="Times New Roman" w:hAnsi="Times New Roman"/>
          <w:color w:val="191919"/>
          <w:sz w:val="24"/>
        </w:rPr>
      </w:pPr>
    </w:p>
    <w:p w:rsidR="00383388" w:rsidRDefault="00383388">
      <w:pPr>
        <w:widowControl/>
        <w:jc w:val="both"/>
        <w:rPr>
          <w:rFonts w:ascii="Times New Roman" w:hAnsi="Times New Roman"/>
          <w:color w:val="191919"/>
          <w:sz w:val="24"/>
        </w:rPr>
      </w:pPr>
    </w:p>
    <w:p w:rsidR="00383388" w:rsidRDefault="00383388">
      <w:pPr>
        <w:widowControl/>
        <w:jc w:val="both"/>
        <w:rPr>
          <w:rFonts w:ascii="Times New Roman" w:hAnsi="Times New Roman"/>
          <w:color w:val="191919"/>
          <w:sz w:val="24"/>
        </w:rPr>
      </w:pPr>
    </w:p>
    <w:p w:rsidR="00383388" w:rsidRDefault="00383388">
      <w:pPr>
        <w:jc w:val="both"/>
        <w:rPr>
          <w:rFonts w:ascii="Times New Roman" w:hAnsi="Times New Roman"/>
          <w:color w:val="191919"/>
          <w:sz w:val="24"/>
        </w:rPr>
      </w:pPr>
    </w:p>
    <w:sectPr w:rsidR="00383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EF" w:rsidRDefault="009C53EF">
      <w:r>
        <w:separator/>
      </w:r>
    </w:p>
  </w:endnote>
  <w:endnote w:type="continuationSeparator" w:id="0">
    <w:p w:rsidR="009C53EF" w:rsidRDefault="009C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3EF" w:rsidRDefault="009C53EF">
    <w:pPr>
      <w:pStyle w:val="aff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3EF" w:rsidRDefault="009C53EF">
    <w:pPr>
      <w:pStyle w:val="aff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3EF" w:rsidRDefault="009C53EF">
    <w:pPr>
      <w:pStyle w:val="a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EF" w:rsidRDefault="009C53EF">
      <w:r>
        <w:separator/>
      </w:r>
    </w:p>
  </w:footnote>
  <w:footnote w:type="continuationSeparator" w:id="0">
    <w:p w:rsidR="009C53EF" w:rsidRDefault="009C5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3EF" w:rsidRDefault="009C53EF">
    <w:pPr>
      <w:pStyle w:val="af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3EF" w:rsidRDefault="009C53EF">
    <w:pPr>
      <w:pStyle w:val="afff5"/>
    </w:pPr>
    <w:r>
      <w:fldChar w:fldCharType="begin"/>
    </w:r>
    <w:r>
      <w:instrText xml:space="preserve"> PAGE </w:instrText>
    </w:r>
    <w:r>
      <w:fldChar w:fldCharType="separate"/>
    </w:r>
    <w:r w:rsidR="0098380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3EF" w:rsidRDefault="009C53EF">
    <w:pPr>
      <w:pStyle w:val="af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04CDA"/>
    <w:multiLevelType w:val="multilevel"/>
    <w:tmpl w:val="1D5A6158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66214C7D"/>
    <w:multiLevelType w:val="multilevel"/>
    <w:tmpl w:val="135032A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79B67E51"/>
    <w:multiLevelType w:val="multilevel"/>
    <w:tmpl w:val="77C68D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388"/>
    <w:rsid w:val="00383388"/>
    <w:rsid w:val="00983806"/>
    <w:rsid w:val="009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63257292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1"/>
    <w:qFormat/>
    <w:pPr>
      <w:spacing w:after="170"/>
    </w:pPr>
    <w:rPr>
      <w:b/>
    </w:rPr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Body Text Indent"/>
    <w:basedOn w:val="a2"/>
  </w:style>
  <w:style w:type="paragraph" w:styleId="aff7">
    <w:name w:val="Salutation"/>
    <w:basedOn w:val="a"/>
  </w:style>
  <w:style w:type="paragraph" w:styleId="aff8">
    <w:name w:val="Signature"/>
    <w:basedOn w:val="a"/>
    <w:pPr>
      <w:tabs>
        <w:tab w:val="right" w:pos="31680"/>
      </w:tabs>
      <w:jc w:val="left"/>
    </w:pPr>
  </w:style>
  <w:style w:type="paragraph" w:customStyle="1" w:styleId="aff9">
    <w:name w:val="Отступы"/>
    <w:basedOn w:val="a2"/>
    <w:qFormat/>
    <w:pPr>
      <w:tabs>
        <w:tab w:val="left" w:pos="0"/>
      </w:tabs>
    </w:pPr>
  </w:style>
  <w:style w:type="paragraph" w:styleId="affa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умерованный 1 начало"/>
    <w:basedOn w:val="aff"/>
    <w:next w:val="affb"/>
    <w:qFormat/>
  </w:style>
  <w:style w:type="paragraph" w:styleId="affb">
    <w:name w:val="List Number"/>
    <w:basedOn w:val="aff"/>
    <w:pPr>
      <w:tabs>
        <w:tab w:val="num" w:pos="0"/>
      </w:tabs>
      <w:ind w:firstLine="709"/>
    </w:pPr>
  </w:style>
  <w:style w:type="paragraph" w:customStyle="1" w:styleId="12">
    <w:name w:val="Нумерованный 1 конец"/>
    <w:basedOn w:val="aff"/>
    <w:next w:val="affb"/>
    <w:qFormat/>
  </w:style>
  <w:style w:type="paragraph" w:customStyle="1" w:styleId="13">
    <w:name w:val="Нумерованный 1 прод."/>
    <w:basedOn w:val="aff"/>
    <w:qFormat/>
  </w:style>
  <w:style w:type="paragraph" w:customStyle="1" w:styleId="20">
    <w:name w:val="Нумерованный 2 начало"/>
    <w:basedOn w:val="aff"/>
    <w:next w:val="21"/>
    <w:qFormat/>
  </w:style>
  <w:style w:type="paragraph" w:styleId="21">
    <w:name w:val="List Number 2"/>
    <w:basedOn w:val="aff"/>
  </w:style>
  <w:style w:type="paragraph" w:customStyle="1" w:styleId="22">
    <w:name w:val="Нумерованный 2 конец"/>
    <w:basedOn w:val="aff"/>
    <w:next w:val="21"/>
    <w:qFormat/>
  </w:style>
  <w:style w:type="paragraph" w:customStyle="1" w:styleId="23">
    <w:name w:val="Нумерованный 2 прод."/>
    <w:basedOn w:val="aff"/>
    <w:qFormat/>
  </w:style>
  <w:style w:type="paragraph" w:customStyle="1" w:styleId="30">
    <w:name w:val="Нумерованный 3 начало"/>
    <w:basedOn w:val="aff"/>
    <w:next w:val="31"/>
    <w:qFormat/>
  </w:style>
  <w:style w:type="paragraph" w:styleId="31">
    <w:name w:val="List Number 3"/>
    <w:basedOn w:val="aff"/>
  </w:style>
  <w:style w:type="paragraph" w:customStyle="1" w:styleId="32">
    <w:name w:val="Нумерованный 3 конец"/>
    <w:basedOn w:val="aff"/>
    <w:next w:val="31"/>
    <w:qFormat/>
  </w:style>
  <w:style w:type="paragraph" w:customStyle="1" w:styleId="33">
    <w:name w:val="Нумерованный 3 прод."/>
    <w:basedOn w:val="aff"/>
    <w:qFormat/>
  </w:style>
  <w:style w:type="paragraph" w:customStyle="1" w:styleId="40">
    <w:name w:val="Нумерованный 4 начало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Нумерованный 4 конец"/>
    <w:basedOn w:val="aff"/>
    <w:next w:val="41"/>
    <w:qFormat/>
  </w:style>
  <w:style w:type="paragraph" w:customStyle="1" w:styleId="43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affc"/>
    <w:qFormat/>
  </w:style>
  <w:style w:type="paragraph" w:styleId="affc">
    <w:name w:val="List Bullet"/>
    <w:basedOn w:val="aff"/>
    <w:pPr>
      <w:tabs>
        <w:tab w:val="num" w:pos="0"/>
      </w:tabs>
      <w:ind w:firstLine="709"/>
    </w:pPr>
  </w:style>
  <w:style w:type="paragraph" w:customStyle="1" w:styleId="15">
    <w:name w:val="Список 1 конец"/>
    <w:basedOn w:val="aff"/>
    <w:next w:val="affc"/>
    <w:qFormat/>
  </w:style>
  <w:style w:type="paragraph" w:styleId="affd">
    <w:name w:val="List Continue"/>
    <w:basedOn w:val="aff"/>
  </w:style>
  <w:style w:type="paragraph" w:customStyle="1" w:styleId="24">
    <w:name w:val="Список 2 начало"/>
    <w:basedOn w:val="aff"/>
    <w:next w:val="25"/>
    <w:qFormat/>
  </w:style>
  <w:style w:type="paragraph" w:styleId="25">
    <w:name w:val="List Bullet 2"/>
    <w:basedOn w:val="aff"/>
  </w:style>
  <w:style w:type="paragraph" w:customStyle="1" w:styleId="26">
    <w:name w:val="Список 2 конец"/>
    <w:basedOn w:val="aff"/>
    <w:next w:val="25"/>
    <w:qFormat/>
  </w:style>
  <w:style w:type="paragraph" w:styleId="27">
    <w:name w:val="List Continue 2"/>
    <w:basedOn w:val="aff"/>
  </w:style>
  <w:style w:type="paragraph" w:customStyle="1" w:styleId="34">
    <w:name w:val="Список 3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36">
    <w:name w:val="Список 3 конец"/>
    <w:basedOn w:val="aff"/>
    <w:next w:val="35"/>
    <w:qFormat/>
  </w:style>
  <w:style w:type="paragraph" w:styleId="37">
    <w:name w:val="List Continue 3"/>
    <w:basedOn w:val="aff"/>
  </w:style>
  <w:style w:type="paragraph" w:customStyle="1" w:styleId="44">
    <w:name w:val="Список 4 начало"/>
    <w:basedOn w:val="aff"/>
    <w:next w:val="45"/>
    <w:qFormat/>
  </w:style>
  <w:style w:type="paragraph" w:styleId="45">
    <w:name w:val="List Bullet 4"/>
    <w:basedOn w:val="aff"/>
  </w:style>
  <w:style w:type="paragraph" w:customStyle="1" w:styleId="46">
    <w:name w:val="Список 4 конец"/>
    <w:basedOn w:val="aff"/>
    <w:next w:val="45"/>
    <w:qFormat/>
  </w:style>
  <w:style w:type="paragraph" w:styleId="47">
    <w:name w:val="List Continue 4"/>
    <w:basedOn w:val="aff"/>
  </w:style>
  <w:style w:type="paragraph" w:customStyle="1" w:styleId="54">
    <w:name w:val="Список 5 начало"/>
    <w:basedOn w:val="aff"/>
    <w:next w:val="55"/>
    <w:qFormat/>
  </w:style>
  <w:style w:type="paragraph" w:styleId="55">
    <w:name w:val="List Bullet 5"/>
    <w:basedOn w:val="aff"/>
  </w:style>
  <w:style w:type="paragraph" w:customStyle="1" w:styleId="56">
    <w:name w:val="Список 5 конец"/>
    <w:basedOn w:val="aff"/>
    <w:next w:val="55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8">
    <w:name w:val="index 3"/>
    <w:basedOn w:val="aff1"/>
  </w:style>
  <w:style w:type="paragraph" w:customStyle="1" w:styleId="affe">
    <w:name w:val="Разделитель предметного указателя"/>
    <w:basedOn w:val="aff1"/>
    <w:qFormat/>
  </w:style>
  <w:style w:type="paragraph" w:styleId="afff">
    <w:name w:val="TOC Heading"/>
    <w:basedOn w:val="a0"/>
    <w:next w:val="17"/>
    <w:qFormat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3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</w:style>
  <w:style w:type="paragraph" w:styleId="afff5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"/>
    <w:qFormat/>
  </w:style>
  <w:style w:type="paragraph" w:customStyle="1" w:styleId="afffc">
    <w:name w:val="Заголовок таблицы"/>
    <w:basedOn w:val="afffb"/>
    <w:qFormat/>
    <w:rPr>
      <w:b/>
    </w:rPr>
  </w:style>
  <w:style w:type="paragraph" w:customStyle="1" w:styleId="afffd">
    <w:name w:val="Иллюстрация"/>
    <w:basedOn w:val="aff0"/>
    <w:qFormat/>
  </w:style>
  <w:style w:type="paragraph" w:customStyle="1" w:styleId="afffe">
    <w:name w:val="Таблица"/>
    <w:basedOn w:val="aff0"/>
    <w:qFormat/>
  </w:style>
  <w:style w:type="paragraph" w:styleId="affff">
    <w:name w:val="Plain Text"/>
    <w:basedOn w:val="aff0"/>
    <w:qFormat/>
  </w:style>
  <w:style w:type="paragraph" w:customStyle="1" w:styleId="affff0">
    <w:name w:val="Содержимое врезки"/>
    <w:basedOn w:val="a"/>
    <w:qFormat/>
  </w:style>
  <w:style w:type="paragraph" w:styleId="affff1">
    <w:name w:val="footnote text"/>
    <w:basedOn w:val="a"/>
    <w:pPr>
      <w:jc w:val="left"/>
    </w:pPr>
  </w:style>
  <w:style w:type="paragraph" w:styleId="affff2">
    <w:name w:val="envelope address"/>
    <w:basedOn w:val="a"/>
  </w:style>
  <w:style w:type="paragraph" w:styleId="2b">
    <w:name w:val="envelope return"/>
    <w:basedOn w:val="a"/>
  </w:style>
  <w:style w:type="paragraph" w:styleId="affff3">
    <w:name w:val="endnote text"/>
    <w:basedOn w:val="a"/>
  </w:style>
  <w:style w:type="paragraph" w:customStyle="1" w:styleId="affff4">
    <w:name w:val="Рисунок"/>
    <w:basedOn w:val="aff0"/>
    <w:qFormat/>
  </w:style>
  <w:style w:type="paragraph" w:customStyle="1" w:styleId="affff5">
    <w:name w:val="Текст в заданном формате"/>
    <w:basedOn w:val="a"/>
    <w:qFormat/>
  </w:style>
  <w:style w:type="paragraph" w:customStyle="1" w:styleId="affff6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7">
    <w:name w:val="Содержимое списка"/>
    <w:basedOn w:val="a"/>
    <w:qFormat/>
  </w:style>
  <w:style w:type="paragraph" w:customStyle="1" w:styleId="affff8">
    <w:name w:val="Заголовок списка"/>
    <w:basedOn w:val="a"/>
    <w:next w:val="affff7"/>
    <w:qFormat/>
  </w:style>
  <w:style w:type="paragraph" w:customStyle="1" w:styleId="affff9">
    <w:name w:val="Гриф_Экземпляр"/>
    <w:basedOn w:val="a"/>
    <w:qFormat/>
    <w:rPr>
      <w:sz w:val="24"/>
    </w:rPr>
  </w:style>
  <w:style w:type="paragraph" w:customStyle="1" w:styleId="affffa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b">
    <w:name w:val="Заголовок списка иллюстраций"/>
    <w:basedOn w:val="a0"/>
    <w:qFormat/>
    <w:pPr>
      <w:suppressLineNumbers/>
    </w:pPr>
  </w:style>
  <w:style w:type="paragraph" w:customStyle="1" w:styleId="ConsPlusNormal">
    <w:name w:val="ConsPlusNormal"/>
    <w:qFormat/>
    <w:pPr>
      <w:ind w:firstLine="720"/>
    </w:pPr>
    <w:rPr>
      <w:rFonts w:ascii="Arial" w:eastAsia="Calibri" w:hAnsi="Arial" w:cs="Arial"/>
      <w:sz w:val="20"/>
      <w:szCs w:val="20"/>
      <w:lang w:bidi="ar-SA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☑"/>
    <w:qFormat/>
  </w:style>
  <w:style w:type="numbering" w:customStyle="1" w:styleId="afffff">
    <w:name w:val="Маркированный ➢"/>
    <w:qFormat/>
  </w:style>
  <w:style w:type="numbering" w:customStyle="1" w:styleId="afffff0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Ермакова Ясмина </cp:lastModifiedBy>
  <cp:revision>18</cp:revision>
  <cp:lastPrinted>2025-09-02T14:19:00Z</cp:lastPrinted>
  <dcterms:created xsi:type="dcterms:W3CDTF">2025-08-22T09:07:00Z</dcterms:created>
  <dcterms:modified xsi:type="dcterms:W3CDTF">2025-10-09T05:02:00Z</dcterms:modified>
  <dc:language>ru-RU</dc:language>
</cp:coreProperties>
</file>