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68"/>
        <w:tblW w:w="0" w:type="auto"/>
        <w:tblLook w:val="01E0" w:firstRow="1" w:lastRow="1" w:firstColumn="1" w:lastColumn="1" w:noHBand="0" w:noVBand="0"/>
      </w:tblPr>
      <w:tblGrid>
        <w:gridCol w:w="4752"/>
        <w:gridCol w:w="4819"/>
      </w:tblGrid>
      <w:tr w:rsidR="008555BD" w:rsidRPr="009151C2" w:rsidTr="008555BD">
        <w:tc>
          <w:tcPr>
            <w:tcW w:w="4892" w:type="dxa"/>
            <w:shd w:val="clear" w:color="auto" w:fill="auto"/>
          </w:tcPr>
          <w:p w:rsidR="008555BD" w:rsidRPr="009151C2" w:rsidRDefault="008555BD" w:rsidP="008555BD">
            <w:pPr>
              <w:pStyle w:val="ConsPlusNormal"/>
              <w:ind w:right="-57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8555BD" w:rsidRPr="009151C2" w:rsidRDefault="008555BD" w:rsidP="008555BD">
            <w:pPr>
              <w:pStyle w:val="ConsPlusNormal"/>
              <w:spacing w:line="360" w:lineRule="auto"/>
              <w:ind w:left="57" w:right="-57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  <w:p w:rsidR="008555BD" w:rsidRPr="009151C2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  <w:p w:rsidR="008555BD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8555BD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октября 2021 № 1048</w:t>
            </w:r>
          </w:p>
          <w:p w:rsidR="008555BD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5BD" w:rsidRPr="009151C2" w:rsidRDefault="008555BD" w:rsidP="008555BD">
            <w:pPr>
              <w:pStyle w:val="ConsPlusNormal"/>
              <w:ind w:left="57" w:right="-57"/>
              <w:jc w:val="center"/>
              <w:rPr>
                <w:sz w:val="26"/>
                <w:szCs w:val="26"/>
              </w:rPr>
            </w:pP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bookmarkStart w:id="0" w:name="P39"/>
      <w:bookmarkEnd w:id="0"/>
      <w:r w:rsidRPr="00910B07">
        <w:rPr>
          <w:color w:val="000000"/>
          <w:sz w:val="26"/>
          <w:szCs w:val="26"/>
        </w:rPr>
        <w:t>МУНИЦИПАЛЬНАЯ ПРОГРАММА</w:t>
      </w:r>
    </w:p>
    <w:p w:rsidR="008555BD" w:rsidRPr="00910B07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 xml:space="preserve"> НАХОДКИНСКОГО ГОРОДСКОГО ОКРУГА</w:t>
      </w:r>
    </w:p>
    <w:p w:rsidR="008555BD" w:rsidRPr="008555BD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 xml:space="preserve">«Поддержка общественных инициатив на территории </w:t>
      </w:r>
    </w:p>
    <w:p w:rsidR="008555BD" w:rsidRPr="00910B07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Находкинского городского округа»</w:t>
      </w:r>
      <w:r>
        <w:rPr>
          <w:color w:val="000000"/>
          <w:sz w:val="26"/>
          <w:szCs w:val="26"/>
        </w:rPr>
        <w:t xml:space="preserve"> </w:t>
      </w:r>
      <w:r w:rsidRPr="00910B07">
        <w:rPr>
          <w:color w:val="000000"/>
          <w:sz w:val="26"/>
          <w:szCs w:val="26"/>
        </w:rPr>
        <w:t>на 202</w:t>
      </w:r>
      <w:r>
        <w:rPr>
          <w:color w:val="000000"/>
          <w:sz w:val="26"/>
          <w:szCs w:val="26"/>
        </w:rPr>
        <w:t>2</w:t>
      </w:r>
      <w:r w:rsidRPr="00910B07">
        <w:rPr>
          <w:color w:val="000000"/>
          <w:sz w:val="26"/>
          <w:szCs w:val="26"/>
        </w:rPr>
        <w:t>-2026 годы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1. Паспорт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25"/>
      </w:tblGrid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муниципальное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по обеспечению деятельности органов местного самоуправления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 управление благоустройства администрации Находкинского городского округа, управление образования администрации Находкинского городского округа</w:t>
            </w:r>
            <w:proofErr w:type="gramEnd"/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Создание условий для повышения активности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участия жителей в осуществлении собственных инициатив по вопросам местного значения и развития территориального общественного самоуправления (далее - ТОС) в Находкинском городском округе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 1. Создание и развитие территориального общественного самоуправления.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 2. Привлечение населения Находкинского городского округа к активному участию в решении вопросов местного значения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 в течение 2022 - 2026 годов в один этап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доля жителей Находкинского городского округа, вовлеченных в активное участие в выявлении и определении приоритетности вопросов местного значения;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ТОС, созданных на территории Находкинского городского округа;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proofErr w:type="gramEnd"/>
          </w:p>
        </w:tc>
      </w:tr>
      <w:tr w:rsidR="008555BD" w:rsidRPr="008555BD" w:rsidTr="008555BD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Прогнозная оценка расходов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Общий прогнозный объем финансирования муниципальной программы на весь период составляет 112816,93 тыс. руб., в том числе: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- 0,00 тыс. руб.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средства бюджета Приморского края - 73478,41 тыс. руб. по годам: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- 2022 год - 2590,39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- 2023 год - 14658,02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- 2024 год - 17500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- 2025 год - 19500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- 2026 год - 19500 тыс. руб.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средства бюджета Находкинского городского округа - 39063,52 тыс. руб. по годам: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- 2022 год - 5418,06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- 2023 год - 6258,26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- 2024 год - 7297,18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- 2025 год - 10045,01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- 2026 год - 10045,01 тыс. руб.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иные внебюджетные средства - 5,00 тыс. руб. по годам: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- 2023 год - 5,00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- 2024 год - 0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- 2025 год - 0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- 2026 год - 0 тыс. руб.</w:t>
            </w:r>
          </w:p>
        </w:tc>
      </w:tr>
      <w:tr w:rsidR="008555BD" w:rsidRPr="008555BD" w:rsidTr="008555BD">
        <w:tblPrEx>
          <w:tblBorders>
            <w:insideH w:val="nil"/>
          </w:tblBorders>
        </w:tblPrEx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Ресурсное обеспечение реализации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725" w:type="dxa"/>
            <w:tcBorders>
              <w:bottom w:val="nil"/>
            </w:tcBorders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мероприятий муниципальной программы на весь период составляет 53726,91 тыс. руб., в том числе: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- 0,00 тыс. руб.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средства бюджета Приморского края - 34748,41 тыс. руб. по годам: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- 2022 год - 2590,39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- 2023 год - 14658,02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- 2024 год - 17500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- 2025 год - 0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- 2026 год - 0 тыс. руб.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средства бюджета Находкинского городского округа - 18973,50 тыс. руб. по годам: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- 2022 год - 5418,06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- 2023 год - 6258,26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- 2024 год - 7297,18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- 2025 год - 0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- 2026 год - 0 тыс. руб.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иные внебюджетные средства - 5,00 тыс. руб. по годам: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- 2023 год - 5,00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- 2024 год - 0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- 2025 год - 0 тыс. руб.;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- 2026 год - 0 тыс. руб.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 Поддержание доли жителей Находкинского городского округа, вовлеченных в активное участие в выявлении и определении приоритетности вопросов местного значения на уровне не менее 20%.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 Рост количества действующих территориальных общественных самоуправлений, созданных на территории Находкинского городского округа с 10 ед. в 2022 г. до 20 ед. в 2026 г.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3. Рост количества реализованных на территории Находкинского городского округа общественно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значимых инициатив при поддержке администрации Находкинского городского округа с 0 ед. в 2022 г. до 5 ед. в 2026 г.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4.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в 2025 г. - 4 ед., в 2026 г. - 4 ед.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5.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в 2025 г. - 5 ед., в 2026 г. - 5 ед.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2. Общая характеристика сферы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5B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8555BD" w:rsidRPr="008555BD" w:rsidRDefault="008555BD" w:rsidP="008555B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Инициативное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бюджетирование создает возможности для более эффективного управления местными бюджетами с участием граждан. 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Таким образом, обеспечивается выбор приоритетов расходования бюджетных средств, для решения вопросов местного значения. Софинансирование проектов инициативного бюджетирования гражданами - следующий шаг в привлечении сре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>аждан на решение вопросов местного значения.</w:t>
      </w:r>
    </w:p>
    <w:p w:rsidR="008555BD" w:rsidRPr="008555BD" w:rsidRDefault="008555BD" w:rsidP="008555B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Реализация основных мероприятий муниципальной программы дает возможность привлечь население Находкинского городского округа к активному участию в выявлении и определении приоритетности вопросов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  <w:proofErr w:type="gramEnd"/>
    </w:p>
    <w:p w:rsidR="008555BD" w:rsidRPr="008555BD" w:rsidRDefault="008555BD" w:rsidP="008555B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Местное самоуправление наиболее приближено к населению, что позволяет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>эффективно использовать местные ресурсы, снимать социальную напряженность в обществе, повышать доверие населения к власти.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установлены принципы и порядок организации территориального общественного самоуправления, его правовые, территориальные и финансово-экономические основы.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Именно ТОС следует рассматривать как первичную, наиболее простую и понятную для населения форму решения вопросов местного значения, затрагивающих и индивидуальные, и коллективные интересы граждан.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Основными направлениями деятельности ТОС являются: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организация мероприятий по благоустройству, озеленению и санитарной очистке территорий, на которых действуют ТОС;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деятельность по организации досуга населения (проведение праздников во дворах, спортивных мероприятий);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взаимодействие с управляющими компаниями.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Активная деятельность ТОС в муниципальных образованиях способна вовлечь в общественно полезную деятельность большое число жителей, расширив возможности органов местного самоуправления в решении вопросов местного значения, привлечь к их решению население и сделать ТОС действенными партнерами органов местного самоуправления.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 настоящее время на территории Находкинского городского округа ТОС как форма участия жителей в местном самоуправлении находится в стадии становления. Причинами слабого развития ТОС являются: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- низкий уровень информированности граждан о ТОС как форме участия населения в осуществлении местного самоуправления;</w:t>
      </w:r>
      <w:proofErr w:type="gramEnd"/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отсутствие информационно-методического сопровождения создания и организации деятельности ТОС;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отсутствие финансовой поддержки на развитие ТОС.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lastRenderedPageBreak/>
        <w:t>Опыт работы ТОС на территории Российской Федерации показал, что эффективное решение социально значимых вопросов местного значения, осуществление населением собственных инициатив возможно тогда, когда ТОС получает поддержку органов местного самоуправления.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Для эффективного решения вопросов развития ТОС Находкинского городского округа необходимо применение программно-целевого метода. Анализ различных вариантов решения основных проблем в сфере развития ТОС программно-целевым методом показывает, что проблемы могут быть решены с помощью различных форм взаимодействия. Наиболее результативными являются: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оказание финансовой поддержки ТОС посредством предоставления им субсидий на реализацию общественно значимых проектов;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оказание консультационной поддержки ТОС.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3. Сроки и этапы реализации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Срок реализации муниципальной программы рассчитан на 2022 - 2026 годы в один этап.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4. Целевые показатели (индикаторы) с расшифровкой 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плановых</w:t>
      </w:r>
      <w:proofErr w:type="gramEnd"/>
    </w:p>
    <w:p w:rsidR="008555BD" w:rsidRPr="008555BD" w:rsidRDefault="008555BD" w:rsidP="008555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значений по годам и этапам ее реализации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1 к Программе.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</w:t>
      </w:r>
    </w:p>
    <w:p w:rsidR="008555BD" w:rsidRPr="008555BD" w:rsidRDefault="008555BD" w:rsidP="00855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2834"/>
        <w:gridCol w:w="2891"/>
      </w:tblGrid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Доля жителей Находкинского городского округа, вовлеченных в активное участие в выявлении и определении приоритетности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вопросов местного значения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noProof/>
                <w:position w:val="-22"/>
                <w:sz w:val="26"/>
                <w:szCs w:val="26"/>
              </w:rPr>
              <w:lastRenderedPageBreak/>
              <w:drawing>
                <wp:inline distT="0" distB="0" distL="0" distR="0" wp14:anchorId="44CC03FE" wp14:editId="61C1F785">
                  <wp:extent cx="1341120" cy="4298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А - количество жителей, вовлеченных в активное участие в выявлении и определении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приоритетности вопросов местного значения;</w:t>
            </w: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 - число жителей, достигших шестнадцатилетнего возраста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- по данным отдела по связям с общественностью управления внешних коммуникаций администрации Находкинского городского округа;</w:t>
            </w: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данным территориального органа Федеральной службы государственной статистики по Приморскому краю (</w:t>
            </w:r>
            <w:hyperlink r:id="rId6">
              <w:r w:rsidRPr="008555BD">
                <w:rPr>
                  <w:rFonts w:ascii="Times New Roman" w:hAnsi="Times New Roman" w:cs="Times New Roman"/>
                  <w:sz w:val="26"/>
                  <w:szCs w:val="26"/>
                </w:rPr>
                <w:t>25.rosstat.gov.ru</w:t>
              </w:r>
            </w:hyperlink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территориальных общественных самоуправлений, созданных на территории Находкинского городского округа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количества ТОС,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созданных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Находкинского городского округа в текущем году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 данным отдела по связям с общественностью управления внешних коммуникаций администрации Находкинского городского округа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общественно значимых инициатив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 количества реализованных на территории Находкинского городского округа общественно значимых инициатив в текущем году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акты выполненных работ по форме КС-2, КС-3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4" w:type="dxa"/>
          </w:tcPr>
          <w:p w:rsidR="008555BD" w:rsidRPr="008555BD" w:rsidRDefault="008555BD" w:rsidP="00977A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 w:rsidR="00977A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 количества проектов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Официальный сайт инициативного бюджетирования Приморского края https://pib.primorsky.ru</w:t>
            </w:r>
            <w:r w:rsidRPr="008555B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Определяется путем подсчета количества проектов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Официальный сайт инициативного бюджетирования Приморского края https://pib.primorsky.ru/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5. Механизм реализации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- отдел по связям с общественностью управления внешних коммуникаций администрации Находкинского городского округа: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обеспечивает разработку муниципальной программы, ее согласование и утверждение в установленном порядке;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ежегодно проводит оценку эффективности реализации муниципальной программы;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и финансовое управление.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Соисполнители по реализации мероприятий муниципальной программы: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Управление капитального строительства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Управление городским хозяйством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Управление по обеспечению деятельности органов местного самоуправления Находкинского городского округа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, в части работы по взаимодействию с гражданами по осуществлению территориального общественного самоуправления;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управление благоустройства администрации Находкинского городского округа в части реализации проектов инициативного бюджетирования по направлениям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Твой проект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и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Молодежный бюджет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управление образования администрации Находкинского городского округа в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 xml:space="preserve">части реализации проектов инициативного бюджетирования по направлению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Молодежный бюджет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- оказание консультационно-методической поддержки по вопросам создания и организации деятельности ТОС включает в себя: проведение семинаров, совещаний, конференций по вопросам создания ТОС для жителей Находкинского городского округа и представителей ТОС, помощь в подготовке документов для проведения собраний, определения границ территории ТОС, регистрации Устава ТОС и регистрации в качестве юридического лица;</w:t>
      </w:r>
      <w:proofErr w:type="gramEnd"/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освещение в средствах массовой информации опыта и результатов работы ТОС включает в себя: размещение публикаций информационного характера;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- проведение круглых столов, выездных мероприятий, семинаров, конференций по вопросам создания ТОС включает в себя: организацию мероприятий для представителей ТОС и жителей Находкинского городского округа для обмена опытом в вопросах создания и деятельности ТОС, в том числе с участием представителей администрации Находкинского городского округа, депутатов, управляющих компаний, представителей ТОС других муниципалитетов Приморского края и субъектов Российской Федерации;</w:t>
      </w:r>
      <w:proofErr w:type="gramEnd"/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обеспечение организационной поддержки деятельности ТОС включает в себя: оказание содействия в подготовке сметной документации, налоговой и иной отчетности, договоров подряда и актов выполненных работ, приемке выполненных работ у подрядной организации;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обеспечение финансовой поддержки деятельности ТОС включает в себя: проведение конкурса на получение субсидии на мероприятия по благоустройству территории, на которой осуществляется ТОС, на материальное стимулирование председателя ТОС, проведение конкурсных мероприятий среди ТОС;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- осуществление общественно значимых проектов, инициируемых жителями Находкинского городского округа включает в себя: консультирование граждан, проведение конкурсного отбора инициативных проектов, разработка проектно-сметной документации, реализация инициативного проекта, организация контроля за реализацией инициативного проекта;</w:t>
      </w:r>
      <w:proofErr w:type="gramEnd"/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осуществление проектов инициативного бюджетирования по направлениям </w:t>
      </w:r>
      <w:r w:rsidR="00977AB8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8555BD">
        <w:rPr>
          <w:rFonts w:ascii="Times New Roman" w:hAnsi="Times New Roman" w:cs="Times New Roman"/>
          <w:sz w:val="26"/>
          <w:szCs w:val="26"/>
        </w:rPr>
        <w:t>Твой проект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и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Молодежный бюджет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включает в себя: информирование граждан, проведение технического анализа поданных заявок, разработка сметной документации, реализация инициативного проекта, организация 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реализацией инициативного проекта.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-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 на мероприятия по реализации инициативных проектов на территории Находкинского городского округа;</w:t>
      </w:r>
      <w:proofErr w:type="gramEnd"/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путем предоставления субсидий за счет средств бюджета Находкинского городского округа на мероприятия по благоустройству территорий, на которых осуществляется территориальное общественное самоуправление и материальное стимулирование председателей ТОС.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6. Прогнозная оценка расходов муниципальной программы</w:t>
      </w:r>
    </w:p>
    <w:p w:rsidR="008555BD" w:rsidRPr="008555BD" w:rsidRDefault="008555BD" w:rsidP="008555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Прогнозная </w:t>
      </w:r>
      <w:r w:rsidRPr="00977AB8">
        <w:rPr>
          <w:rFonts w:ascii="Times New Roman" w:hAnsi="Times New Roman" w:cs="Times New Roman"/>
          <w:sz w:val="26"/>
          <w:szCs w:val="26"/>
        </w:rPr>
        <w:t xml:space="preserve">оценка муниципальной </w:t>
      </w:r>
      <w:r w:rsidRPr="008555BD">
        <w:rPr>
          <w:rFonts w:ascii="Times New Roman" w:hAnsi="Times New Roman" w:cs="Times New Roman"/>
          <w:sz w:val="26"/>
          <w:szCs w:val="26"/>
        </w:rPr>
        <w:t xml:space="preserve">программы Находкинского городского округа представлена в приложение </w:t>
      </w:r>
      <w:r w:rsidR="00977AB8"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2 к Программе.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7. Ресурсное обеспечение реализации муниципальной программы</w:t>
      </w:r>
    </w:p>
    <w:p w:rsidR="008555BD" w:rsidRPr="008555BD" w:rsidRDefault="008555BD" w:rsidP="008555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Ресурсное </w:t>
      </w:r>
      <w:r w:rsidRPr="00977AB8">
        <w:rPr>
          <w:rFonts w:ascii="Times New Roman" w:hAnsi="Times New Roman" w:cs="Times New Roman"/>
          <w:sz w:val="26"/>
          <w:szCs w:val="26"/>
        </w:rPr>
        <w:t>обеспечение</w:t>
      </w:r>
      <w:r w:rsidRPr="008555BD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за счет средств бюджета Находкинского городского округа с расшифровкой по кодам бюджетной классификации представлено в приложение </w:t>
      </w:r>
      <w:r w:rsidR="00977AB8"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3 к Программе.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 Методика оценки эффективности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степени соответствия запланированному уровню затрат;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степени реализации мероприятий муниципальной программы (подпрограммы).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lastRenderedPageBreak/>
        <w:t>8.1.1. Оценка степени достижения целей и решения задач муниципальной программы (подпрограммы).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целевого показателя (индикатора), характеризующего цели и задачи муниципальной программы.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694197C2" wp14:editId="1467E3A4">
            <wp:extent cx="869950" cy="5448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фактическое значение i-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муниципальной программы;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плановое значение i-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значений).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рассчитывается по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094CF36" wp14:editId="17DE3325">
            <wp:extent cx="1163320" cy="3251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>Ц - степень реализации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(подпрограммы).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8.1.2. Оценка степени соответствия запланированному уровню затрат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5BD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  <w:proofErr w:type="gramEnd"/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lastRenderedPageBreak/>
        <w:t>Сфин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Зфакт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Зплан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>,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где: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Зфакт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(подпрограммы) в отчетном году;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Зплан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8.1.3. Оценка степени реализации основных мероприятий (мероприятий)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Степень реализации основных мероприятий (мероприятий) оценивается для каждой подпрограммы как доля основных мероприятий (мероприятий), выполненных в полном объеме, по следующей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где: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реализации основных мероприятий (мероприятий)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 - общее количество основных мероприятий (мероприятий), запланированных к реализации в отчетном году.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По иным основным мероприятиям (мероприятиям) результаты реализации могут оцениваться как наступление или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8555BD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>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8.1.4. Оценка эффективности реализации муниципальной программы (подпрограммы) рассчитывается по следующей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425CD4E7" wp14:editId="7E60802D">
            <wp:extent cx="175006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где: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555BD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55BD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555BD">
        <w:rPr>
          <w:rFonts w:ascii="Times New Roman" w:hAnsi="Times New Roman" w:cs="Times New Roman"/>
          <w:sz w:val="26"/>
          <w:szCs w:val="26"/>
        </w:rPr>
        <w:t xml:space="preserve"> - степень реализации основных мероприятий (мероприятий) муниципальной программы (подпрограммы).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8.2. Эффективность реализации муниципальной программы признается высокой, в случае если значение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555BD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555BD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9. План реализации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977AB8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7AB8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представлен в приложении N 4 к Программе.</w:t>
      </w:r>
    </w:p>
    <w:p w:rsidR="00464133" w:rsidRDefault="00464133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64133" w:rsidSect="00464133">
          <w:pgSz w:w="11907" w:h="16839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464133" w:rsidRPr="009151C2" w:rsidTr="00DB79C8">
        <w:tc>
          <w:tcPr>
            <w:tcW w:w="7609" w:type="dxa"/>
            <w:shd w:val="clear" w:color="auto" w:fill="auto"/>
          </w:tcPr>
          <w:p w:rsidR="00464133" w:rsidRPr="009151C2" w:rsidRDefault="00464133" w:rsidP="00DB79C8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464133" w:rsidRPr="009151C2" w:rsidRDefault="00464133" w:rsidP="00DB79C8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64133" w:rsidRPr="009151C2" w:rsidRDefault="00464133" w:rsidP="00DB79C8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464133" w:rsidRPr="009151C2" w:rsidRDefault="00464133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464133" w:rsidRPr="00F3178E" w:rsidRDefault="00464133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464133" w:rsidRDefault="00464133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  <w:p w:rsidR="00464133" w:rsidRPr="009151C2" w:rsidRDefault="00464133" w:rsidP="00DB79C8">
            <w:pPr>
              <w:pStyle w:val="ConsPlusNormal"/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октября 2021 № 1048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4133" w:rsidRPr="00910B07" w:rsidRDefault="00464133" w:rsidP="00464133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4"/>
      <w:bookmarkEnd w:id="1"/>
      <w:r w:rsidRPr="00910B07">
        <w:rPr>
          <w:rFonts w:ascii="Times New Roman" w:hAnsi="Times New Roman" w:cs="Times New Roman"/>
          <w:sz w:val="26"/>
          <w:szCs w:val="26"/>
        </w:rPr>
        <w:t>СВЕДЕНИЯ</w:t>
      </w:r>
    </w:p>
    <w:p w:rsidR="00464133" w:rsidRPr="00910B07" w:rsidRDefault="00464133" w:rsidP="00464133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О ЦЕЛЕВЫХ ИНДИКАТОРАХ, ПОКАЗАТЕЛЯХ</w:t>
      </w:r>
    </w:p>
    <w:p w:rsidR="00464133" w:rsidRPr="00910B07" w:rsidRDefault="00464133" w:rsidP="00464133">
      <w:pPr>
        <w:ind w:left="57" w:right="-57"/>
        <w:jc w:val="center"/>
        <w:rPr>
          <w:b/>
          <w:sz w:val="26"/>
          <w:szCs w:val="26"/>
        </w:rPr>
      </w:pPr>
      <w:r w:rsidRPr="00910B07">
        <w:rPr>
          <w:b/>
          <w:sz w:val="26"/>
          <w:szCs w:val="26"/>
        </w:rPr>
        <w:t>МУНИЦИПАЛЬНОЙ ПРОГРАММЫ</w:t>
      </w:r>
    </w:p>
    <w:p w:rsidR="00464133" w:rsidRPr="00910B07" w:rsidRDefault="00464133" w:rsidP="00464133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 xml:space="preserve">«Поддержка общественных инициатив на территории </w:t>
      </w:r>
    </w:p>
    <w:p w:rsidR="00464133" w:rsidRDefault="00464133" w:rsidP="00464133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>Находкинского городского округа» на 202</w:t>
      </w:r>
      <w:r w:rsidRPr="00464133">
        <w:rPr>
          <w:sz w:val="26"/>
          <w:szCs w:val="26"/>
        </w:rPr>
        <w:t>2</w:t>
      </w:r>
      <w:r w:rsidRPr="00910B07">
        <w:rPr>
          <w:sz w:val="26"/>
          <w:szCs w:val="26"/>
        </w:rPr>
        <w:t>-2026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97"/>
        <w:gridCol w:w="1216"/>
        <w:gridCol w:w="794"/>
        <w:gridCol w:w="794"/>
        <w:gridCol w:w="1024"/>
        <w:gridCol w:w="1134"/>
        <w:gridCol w:w="850"/>
        <w:gridCol w:w="4394"/>
      </w:tblGrid>
      <w:tr w:rsidR="00464133" w:rsidRPr="008555BD" w:rsidTr="00464133">
        <w:tc>
          <w:tcPr>
            <w:tcW w:w="460" w:type="dxa"/>
            <w:vMerge w:val="restart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97" w:type="dxa"/>
            <w:vMerge w:val="restart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Целевой индикатор, показатель (наименование)</w:t>
            </w:r>
          </w:p>
        </w:tc>
        <w:tc>
          <w:tcPr>
            <w:tcW w:w="1216" w:type="dxa"/>
            <w:vMerge w:val="restart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990" w:type="dxa"/>
            <w:gridSpan w:val="6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индикатора, показателя</w:t>
            </w:r>
          </w:p>
        </w:tc>
      </w:tr>
      <w:tr w:rsidR="00464133" w:rsidRPr="008555BD" w:rsidTr="00464133">
        <w:tc>
          <w:tcPr>
            <w:tcW w:w="460" w:type="dxa"/>
            <w:vMerge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vMerge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7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7" w:type="dxa"/>
          </w:tcPr>
          <w:p w:rsidR="00464133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Доля жителей Находкинского городского округа, вовлеченных в активное участие в выявлении и определении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степени приоритетности проблем местного значения</w:t>
            </w:r>
            <w:proofErr w:type="gramEnd"/>
          </w:p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20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20</w:t>
            </w: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20</w:t>
            </w: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=&gt; 20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=&gt; 20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Поддержание доли жителей Находкинского городского округа, вовлеченных в активное участие в выявлении и определении приоритетности вопросов местного значения, на уровне не менее 20%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97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7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территориальных общественных самоуправлений (далее - ТОС), созданных на территории Находкинского городского округа</w:t>
            </w:r>
          </w:p>
        </w:tc>
        <w:tc>
          <w:tcPr>
            <w:tcW w:w="1216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10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</w:t>
            </w: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</w:t>
            </w: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Рост количества действующих территориальных общественных самоуправлений, созданных на территории Находкинского городского округа, до 20 ед. в 2026 г.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7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</w:t>
            </w:r>
          </w:p>
        </w:tc>
        <w:tc>
          <w:tcPr>
            <w:tcW w:w="1216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</w:t>
            </w: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Рост количества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 до 5 ед. в 2026 г.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7" w:type="dxa"/>
          </w:tcPr>
          <w:p w:rsidR="00464133" w:rsidRPr="008555BD" w:rsidRDefault="00464133" w:rsidP="00464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16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проектов инициативного бюджетирования по направлению "Твой проект" 4 ед. в 2025 г., 4 ед. в 2026 г.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7" w:type="dxa"/>
          </w:tcPr>
          <w:p w:rsidR="00464133" w:rsidRPr="008555BD" w:rsidRDefault="00464133" w:rsidP="00464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16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464133" w:rsidRPr="008555BD" w:rsidRDefault="00464133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464133" w:rsidRPr="008555BD" w:rsidRDefault="00464133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проектов инициативного бюджетирования по направлению "Молодежный бюджет" 5 ед. в 2025 г., 5 ед. в 2026 г.</w:t>
            </w:r>
          </w:p>
        </w:tc>
      </w:tr>
    </w:tbl>
    <w:p w:rsidR="00464133" w:rsidRPr="00910B07" w:rsidRDefault="00464133" w:rsidP="00464133">
      <w:pPr>
        <w:ind w:left="57" w:right="-57"/>
        <w:jc w:val="center"/>
        <w:rPr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555BD" w:rsidRPr="008555BD" w:rsidSect="00464133">
          <w:pgSz w:w="16839" w:h="11907" w:orient="landscape" w:code="9"/>
          <w:pgMar w:top="1701" w:right="1134" w:bottom="851" w:left="1134" w:header="720" w:footer="720" w:gutter="0"/>
          <w:cols w:space="708"/>
          <w:titlePg/>
          <w:docGrid w:linePitch="326"/>
        </w:sect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464133" w:rsidRPr="009151C2" w:rsidTr="00DB79C8">
        <w:tc>
          <w:tcPr>
            <w:tcW w:w="7609" w:type="dxa"/>
            <w:shd w:val="clear" w:color="auto" w:fill="auto"/>
          </w:tcPr>
          <w:p w:rsidR="00464133" w:rsidRPr="009151C2" w:rsidRDefault="00464133" w:rsidP="00DB79C8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464133" w:rsidRPr="009151C2" w:rsidRDefault="00464133" w:rsidP="00DB79C8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64133" w:rsidRPr="009151C2" w:rsidRDefault="00464133" w:rsidP="00DB79C8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464133" w:rsidRPr="009151C2" w:rsidRDefault="00464133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464133" w:rsidRPr="00F3178E" w:rsidRDefault="00464133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464133" w:rsidRDefault="00464133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BD3FA1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  <w:p w:rsidR="00464133" w:rsidRPr="009151C2" w:rsidRDefault="00464133" w:rsidP="00DB79C8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 1048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4133" w:rsidRPr="007255DC" w:rsidRDefault="00464133" w:rsidP="00464133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bookmarkStart w:id="2" w:name="P392"/>
      <w:bookmarkEnd w:id="2"/>
      <w:r w:rsidRPr="007255DC">
        <w:rPr>
          <w:b/>
          <w:color w:val="000000"/>
          <w:sz w:val="26"/>
          <w:szCs w:val="26"/>
        </w:rPr>
        <w:t>ПРОГНОЗНАЯ ОЦЕНКА РАСХОДОВ</w:t>
      </w:r>
    </w:p>
    <w:p w:rsidR="00464133" w:rsidRPr="007255DC" w:rsidRDefault="00464133" w:rsidP="00464133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 xml:space="preserve"> МУНИЦИПАЛЬНОЙ ПРОГРАММЫ</w:t>
      </w:r>
    </w:p>
    <w:p w:rsidR="00464133" w:rsidRPr="007255DC" w:rsidRDefault="00464133" w:rsidP="00464133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>НАХОДКИНСКОГО ГОРОДСКОГО ОКРУГА</w:t>
      </w:r>
    </w:p>
    <w:p w:rsidR="00464133" w:rsidRPr="00910B07" w:rsidRDefault="00464133" w:rsidP="00464133">
      <w:pPr>
        <w:ind w:left="57" w:right="-57"/>
        <w:jc w:val="center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«Поддержка общественных инициатив</w:t>
      </w:r>
    </w:p>
    <w:p w:rsidR="00464133" w:rsidRPr="00910B07" w:rsidRDefault="00464133" w:rsidP="00464133">
      <w:pPr>
        <w:ind w:left="57" w:right="-57"/>
        <w:jc w:val="center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464133" w:rsidRPr="00910B07" w:rsidRDefault="00464133" w:rsidP="00464133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 202</w:t>
      </w:r>
      <w:r>
        <w:rPr>
          <w:color w:val="000000"/>
          <w:sz w:val="26"/>
          <w:szCs w:val="26"/>
        </w:rPr>
        <w:t>2</w:t>
      </w:r>
      <w:r w:rsidRPr="00910B07">
        <w:rPr>
          <w:color w:val="000000"/>
          <w:sz w:val="26"/>
          <w:szCs w:val="26"/>
        </w:rPr>
        <w:t>-2026 годы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73"/>
        <w:gridCol w:w="2409"/>
        <w:gridCol w:w="1276"/>
        <w:gridCol w:w="1134"/>
        <w:gridCol w:w="1275"/>
        <w:gridCol w:w="1276"/>
        <w:gridCol w:w="1276"/>
        <w:gridCol w:w="1276"/>
      </w:tblGrid>
      <w:tr w:rsidR="008555BD" w:rsidRPr="008555BD" w:rsidTr="00DE0439">
        <w:tc>
          <w:tcPr>
            <w:tcW w:w="629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73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09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7513" w:type="dxa"/>
            <w:gridSpan w:val="6"/>
          </w:tcPr>
          <w:p w:rsidR="008555BD" w:rsidRPr="008555BD" w:rsidRDefault="008555BD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 годы</w:t>
            </w:r>
          </w:p>
        </w:tc>
      </w:tr>
      <w:tr w:rsidR="008555BD" w:rsidRPr="008555BD" w:rsidTr="00DE0439">
        <w:tc>
          <w:tcPr>
            <w:tcW w:w="629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8555BD" w:rsidRPr="008555BD" w:rsidTr="00DE0439">
        <w:tc>
          <w:tcPr>
            <w:tcW w:w="629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555BD" w:rsidRPr="008555BD" w:rsidTr="00DE0439">
        <w:tc>
          <w:tcPr>
            <w:tcW w:w="629" w:type="dxa"/>
            <w:vMerge w:val="restart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 w:val="restart"/>
          </w:tcPr>
          <w:p w:rsidR="008555BD" w:rsidRPr="008555BD" w:rsidRDefault="008555BD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E04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Поддержка общественных инициатив на территории Находкинского городского округа</w:t>
            </w:r>
            <w:r w:rsidR="00DE04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на 2021 - 2026 годы</w:t>
            </w:r>
          </w:p>
        </w:tc>
        <w:tc>
          <w:tcPr>
            <w:tcW w:w="2409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112816,93</w:t>
            </w:r>
          </w:p>
        </w:tc>
        <w:tc>
          <w:tcPr>
            <w:tcW w:w="1134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8008,45</w:t>
            </w:r>
          </w:p>
        </w:tc>
        <w:tc>
          <w:tcPr>
            <w:tcW w:w="1275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20921,28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24797,18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29545,01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29545,01</w:t>
            </w:r>
          </w:p>
        </w:tc>
      </w:tr>
      <w:tr w:rsidR="008555BD" w:rsidRPr="008555BD" w:rsidTr="00DE0439">
        <w:tc>
          <w:tcPr>
            <w:tcW w:w="629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5BD" w:rsidRPr="008555BD" w:rsidTr="00DE0439">
        <w:tc>
          <w:tcPr>
            <w:tcW w:w="629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73748,41</w:t>
            </w:r>
          </w:p>
        </w:tc>
        <w:tc>
          <w:tcPr>
            <w:tcW w:w="1134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2590,39</w:t>
            </w:r>
          </w:p>
        </w:tc>
        <w:tc>
          <w:tcPr>
            <w:tcW w:w="1275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14658,02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17500,00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19500,00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19500,00</w:t>
            </w:r>
          </w:p>
        </w:tc>
      </w:tr>
      <w:tr w:rsidR="008555BD" w:rsidRPr="008555BD" w:rsidTr="00DE0439">
        <w:tc>
          <w:tcPr>
            <w:tcW w:w="629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555BD" w:rsidRPr="008555BD" w:rsidRDefault="008555BD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Бюджет Находкинского 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39063,52</w:t>
            </w:r>
          </w:p>
        </w:tc>
        <w:tc>
          <w:tcPr>
            <w:tcW w:w="1134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5418,06</w:t>
            </w:r>
          </w:p>
        </w:tc>
        <w:tc>
          <w:tcPr>
            <w:tcW w:w="1275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6258,26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7297,18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10045,01</w:t>
            </w:r>
          </w:p>
        </w:tc>
        <w:tc>
          <w:tcPr>
            <w:tcW w:w="1276" w:type="dxa"/>
          </w:tcPr>
          <w:p w:rsidR="008555BD" w:rsidRPr="008555BD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10045,01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 w:val="restart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276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8555BD" w:rsidTr="00DE0439">
        <w:tc>
          <w:tcPr>
            <w:tcW w:w="629" w:type="dxa"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A134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A134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134" w:type="dxa"/>
          </w:tcPr>
          <w:p w:rsidR="00DE0439" w:rsidRPr="008555BD" w:rsidRDefault="00DE0439" w:rsidP="00A134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A134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276" w:type="dxa"/>
          </w:tcPr>
          <w:p w:rsidR="00DE0439" w:rsidRPr="008555BD" w:rsidRDefault="00DE0439" w:rsidP="00A134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A134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A134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Иные 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консультаций, круглых столов, выездных мероприятий, семинаров, конференций по вопросам создания ТОС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организационной поддержки 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поддержки 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32169,58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5418,06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6258,26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7297,18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6598,04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6598,04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32169,58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5418,06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6258,26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7297,18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6598,04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6598,04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34748,41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2590,39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14663,02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17500,00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34748,41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2590,39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14658,02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17500,00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6300,00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3150,00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3150,00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6300,00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3150,00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3150,00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6000,00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6000,00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проектов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инициативного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24242,42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12121,21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12121,21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24000,00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12000,00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12000,00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242,42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121,21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121,21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8555BD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8555BD" w:rsidTr="00DE0439">
        <w:tc>
          <w:tcPr>
            <w:tcW w:w="629" w:type="dxa"/>
            <w:vMerge w:val="restart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73" w:type="dxa"/>
            <w:vMerge w:val="restart"/>
          </w:tcPr>
          <w:p w:rsidR="00DE0439" w:rsidRPr="008555BD" w:rsidRDefault="00DE0439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проектов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инициативного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15151,52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7575,76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7575,76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15000,00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7500,00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7500,00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151,52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</w:tr>
      <w:tr w:rsidR="00DE0439" w:rsidRPr="008555BD" w:rsidTr="00DE0439">
        <w:tc>
          <w:tcPr>
            <w:tcW w:w="629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8555BD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8555BD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555BD" w:rsidRPr="008555BD">
          <w:pgSz w:w="16839" w:h="11906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637B8C" w:rsidRPr="009151C2" w:rsidTr="00DB79C8">
        <w:tc>
          <w:tcPr>
            <w:tcW w:w="7609" w:type="dxa"/>
            <w:shd w:val="clear" w:color="auto" w:fill="auto"/>
          </w:tcPr>
          <w:p w:rsidR="00637B8C" w:rsidRPr="009151C2" w:rsidRDefault="00637B8C" w:rsidP="00DB79C8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637B8C" w:rsidRPr="009151C2" w:rsidRDefault="00637B8C" w:rsidP="00DB79C8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637B8C" w:rsidRPr="009151C2" w:rsidRDefault="00637B8C" w:rsidP="00DB79C8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637B8C" w:rsidRPr="009151C2" w:rsidRDefault="00637B8C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637B8C" w:rsidRPr="009151C2" w:rsidRDefault="00637B8C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637B8C" w:rsidRDefault="00637B8C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  <w:p w:rsidR="00637B8C" w:rsidRPr="009151C2" w:rsidRDefault="00637B8C" w:rsidP="00DB79C8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№1048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7B8C" w:rsidRPr="007B6E62" w:rsidRDefault="00637B8C" w:rsidP="00637B8C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bookmarkStart w:id="3" w:name="P948"/>
      <w:bookmarkEnd w:id="3"/>
      <w:r w:rsidRPr="007B6E62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</w:p>
    <w:p w:rsidR="00637B8C" w:rsidRPr="007B6E62" w:rsidRDefault="00637B8C" w:rsidP="00637B8C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НАХОДКИНСКОГО ГОРОДСКОГО ОКРУГА ЗА СЧЕТСРЕДСТВ БЮДЖЕТА</w:t>
      </w:r>
    </w:p>
    <w:p w:rsidR="00637B8C" w:rsidRPr="007B6E62" w:rsidRDefault="00637B8C" w:rsidP="00637B8C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НАХОДКИНСКОГО ГОРОДСКОГО ОКРУГА, (ТЫС. РУБ.)</w:t>
      </w:r>
    </w:p>
    <w:p w:rsidR="00637B8C" w:rsidRPr="007B6E62" w:rsidRDefault="00637B8C" w:rsidP="00637B8C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«Поддержка общественных инициатив</w:t>
      </w:r>
    </w:p>
    <w:p w:rsidR="00637B8C" w:rsidRPr="007B6E62" w:rsidRDefault="00637B8C" w:rsidP="00637B8C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637B8C" w:rsidRPr="00910B07" w:rsidRDefault="00637B8C" w:rsidP="00637B8C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2022-2026 годы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292"/>
        <w:gridCol w:w="1960"/>
        <w:gridCol w:w="847"/>
        <w:gridCol w:w="868"/>
        <w:gridCol w:w="1417"/>
        <w:gridCol w:w="692"/>
        <w:gridCol w:w="1134"/>
        <w:gridCol w:w="992"/>
        <w:gridCol w:w="1134"/>
        <w:gridCol w:w="1134"/>
        <w:gridCol w:w="709"/>
        <w:gridCol w:w="851"/>
      </w:tblGrid>
      <w:tr w:rsidR="00637B8C" w:rsidRPr="00637B8C" w:rsidTr="00637B8C">
        <w:tc>
          <w:tcPr>
            <w:tcW w:w="484" w:type="dxa"/>
            <w:vMerge w:val="restart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2" w:type="dxa"/>
            <w:vMerge w:val="restart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  <w:vMerge w:val="restart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824" w:type="dxa"/>
            <w:gridSpan w:val="4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37B8C" w:rsidRPr="00637B8C" w:rsidTr="00637B8C">
        <w:tc>
          <w:tcPr>
            <w:tcW w:w="484" w:type="dxa"/>
            <w:vMerge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637B8C" w:rsidRPr="00637B8C" w:rsidRDefault="00637B8C" w:rsidP="0063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инициатив на территории Находкинского городского округа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на 2021 - 2026 годы, всего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53726,91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8008,45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20921,28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24797,18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637B8C" w:rsidRPr="00637B8C" w:rsidRDefault="00637B8C" w:rsidP="0063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</w:t>
            </w:r>
            <w:proofErr w:type="gramStart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методической поддержки по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вопросам создания и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связям с общественностью администрации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2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60" w:type="dxa"/>
          </w:tcPr>
          <w:p w:rsidR="00637B8C" w:rsidRPr="00637B8C" w:rsidRDefault="00637B8C" w:rsidP="0063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НГО, МКУ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ОМС НГО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организационной, поддержки деятельности территориального общественного самоуправления Находкинского городского округа, всего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финансовой поддержки деятельности территориального общественного самоуправления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округа, всего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2890164080</w:t>
            </w: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18973,5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5418,06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6258,26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7297,18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2890194030</w:t>
            </w: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34748,41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2590,39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14658,02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17500,00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Консультирование жителей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60" w:type="dxa"/>
          </w:tcPr>
          <w:p w:rsidR="00637B8C" w:rsidRPr="00637B8C" w:rsidRDefault="00637B8C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2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960" w:type="dxa"/>
          </w:tcPr>
          <w:p w:rsidR="00637B8C" w:rsidRPr="00637B8C" w:rsidRDefault="00637B8C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МКУ "УКС", МКУ 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городским хозяйством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637B8C" w:rsidRPr="00637B8C" w:rsidRDefault="00637B8C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проектов </w:t>
            </w:r>
            <w:proofErr w:type="gramStart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по направлению 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Твой проект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637B8C" w:rsidRPr="00637B8C" w:rsidRDefault="00637B8C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, МКУ 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городским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хозяйством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, Управление благоустройства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637B8C">
        <w:tc>
          <w:tcPr>
            <w:tcW w:w="48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2" w:type="dxa"/>
          </w:tcPr>
          <w:p w:rsidR="00637B8C" w:rsidRPr="00637B8C" w:rsidRDefault="00637B8C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проектов </w:t>
            </w:r>
            <w:proofErr w:type="gramStart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по направлению 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Молодежный бюджет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НГО, управление благоустройства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DB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555BD" w:rsidRPr="008555BD" w:rsidSect="00DE0439">
          <w:pgSz w:w="16839" w:h="11906" w:orient="landscape"/>
          <w:pgMar w:top="1701" w:right="1134" w:bottom="851" w:left="1134" w:header="0" w:footer="0" w:gutter="0"/>
          <w:cols w:space="720"/>
          <w:titlePg/>
          <w:docGrid w:linePitch="326"/>
        </w:sectPr>
      </w:pPr>
    </w:p>
    <w:tbl>
      <w:tblPr>
        <w:tblW w:w="15219" w:type="dxa"/>
        <w:tblInd w:w="250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9D3820" w:rsidRPr="009151C2" w:rsidTr="009D3820">
        <w:tc>
          <w:tcPr>
            <w:tcW w:w="7609" w:type="dxa"/>
            <w:shd w:val="clear" w:color="auto" w:fill="auto"/>
          </w:tcPr>
          <w:p w:rsidR="009D3820" w:rsidRPr="009151C2" w:rsidRDefault="009D3820" w:rsidP="00DB79C8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9D3820" w:rsidRPr="009151C2" w:rsidRDefault="009D3820" w:rsidP="00DB79C8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D3820" w:rsidRPr="009151C2" w:rsidRDefault="009D3820" w:rsidP="00DB79C8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9D3820" w:rsidRPr="009151C2" w:rsidRDefault="009D3820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9D3820" w:rsidRPr="009151C2" w:rsidRDefault="009D3820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9D3820" w:rsidRDefault="009D3820" w:rsidP="00DB79C8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  <w:p w:rsidR="009D3820" w:rsidRPr="009151C2" w:rsidRDefault="009D3820" w:rsidP="00DB79C8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 1048</w:t>
            </w:r>
          </w:p>
        </w:tc>
      </w:tr>
    </w:tbl>
    <w:p w:rsid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3820" w:rsidRPr="008555BD" w:rsidRDefault="009D3820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3820" w:rsidRPr="009D3820" w:rsidRDefault="009D3820" w:rsidP="009D3820">
      <w:pPr>
        <w:tabs>
          <w:tab w:val="left" w:pos="4933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D3820">
        <w:rPr>
          <w:b/>
          <w:sz w:val="26"/>
          <w:szCs w:val="26"/>
        </w:rPr>
        <w:t>ПЛАН РЕАЛИЗАЦИИ МУНИЦИПАЛЬНОЙ ПРОГРАММЫ</w:t>
      </w:r>
    </w:p>
    <w:p w:rsidR="009D3820" w:rsidRPr="007B6E62" w:rsidRDefault="009D3820" w:rsidP="009D3820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«Поддержка общественных инициатив</w:t>
      </w:r>
    </w:p>
    <w:p w:rsidR="009D3820" w:rsidRPr="007B6E62" w:rsidRDefault="009D3820" w:rsidP="009D3820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9D3820" w:rsidRPr="00910B07" w:rsidRDefault="009D3820" w:rsidP="009D382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2022-2026 годы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2120"/>
        <w:gridCol w:w="1565"/>
        <w:gridCol w:w="2834"/>
        <w:gridCol w:w="813"/>
        <w:gridCol w:w="644"/>
        <w:gridCol w:w="644"/>
        <w:gridCol w:w="644"/>
        <w:gridCol w:w="644"/>
        <w:gridCol w:w="644"/>
        <w:gridCol w:w="2073"/>
      </w:tblGrid>
      <w:tr w:rsidR="008555BD" w:rsidRPr="008555BD" w:rsidTr="009D3820">
        <w:tc>
          <w:tcPr>
            <w:tcW w:w="710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4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120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1565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мероприятия</w:t>
            </w:r>
          </w:p>
        </w:tc>
        <w:tc>
          <w:tcPr>
            <w:tcW w:w="2834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13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20" w:type="dxa"/>
            <w:gridSpan w:val="5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2073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</w:tr>
      <w:tr w:rsidR="008555BD" w:rsidRPr="008555BD" w:rsidTr="009D3820"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5BD" w:rsidRPr="008555BD" w:rsidTr="009D3820">
        <w:tc>
          <w:tcPr>
            <w:tcW w:w="710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555BD" w:rsidRPr="008555BD" w:rsidTr="009D3820">
        <w:tc>
          <w:tcPr>
            <w:tcW w:w="710" w:type="dxa"/>
          </w:tcPr>
          <w:p w:rsidR="008555BD" w:rsidRPr="008555BD" w:rsidRDefault="008555BD" w:rsidP="008555BD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459" w:type="dxa"/>
            <w:gridSpan w:val="11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Задача: Создание и развитие территориального общественного самоуправления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консультативно-методической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поддержки по вопросам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создания и организации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деятельности ТОС</w:t>
            </w:r>
          </w:p>
        </w:tc>
        <w:tc>
          <w:tcPr>
            <w:tcW w:w="2120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общественностью управления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внешних</w:t>
            </w:r>
            <w:proofErr w:type="gramEnd"/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консультативно-методической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поддержки по вопросам создания и организации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деятельности ТОС</w:t>
            </w:r>
          </w:p>
        </w:tc>
        <w:tc>
          <w:tcPr>
            <w:tcW w:w="813" w:type="dxa"/>
          </w:tcPr>
          <w:p w:rsidR="009D3820" w:rsidRPr="008555BD" w:rsidRDefault="009D3820" w:rsidP="005535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5535F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5535F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5535F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5535F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5535F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действующих территориальных общественных самоуправлений, созданных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:rsidR="009D3820" w:rsidRPr="008555BD" w:rsidRDefault="009D3820" w:rsidP="009D38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коммуникаций администрации НГО,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МКУ 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по обеспечению деятельности ОМС 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vMerge w:val="restart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территории Находкинского городского округа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Освещение в средствах массовой информации опыта и результатов работы ТОС</w:t>
            </w:r>
          </w:p>
        </w:tc>
        <w:tc>
          <w:tcPr>
            <w:tcW w:w="2120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Освещение в средствах массовой информации опыта и результатов работы ТОС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2120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34" w:type="dxa"/>
          </w:tcPr>
          <w:p w:rsidR="009D3820" w:rsidRPr="008555BD" w:rsidRDefault="009D3820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организационной поддержки </w:t>
            </w:r>
          </w:p>
        </w:tc>
        <w:tc>
          <w:tcPr>
            <w:tcW w:w="2120" w:type="dxa"/>
          </w:tcPr>
          <w:p w:rsidR="009D3820" w:rsidRPr="008555BD" w:rsidRDefault="009D3820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общественностью 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организационной поддержки 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120" w:type="dxa"/>
          </w:tcPr>
          <w:p w:rsidR="009D3820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управления внешних коммуникаций администрации НГО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DB79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34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поддержки 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120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ТОС, получивших финансовую поддержку их деятельности</w:t>
            </w:r>
          </w:p>
        </w:tc>
        <w:tc>
          <w:tcPr>
            <w:tcW w:w="813" w:type="dxa"/>
          </w:tcPr>
          <w:p w:rsidR="00BA20FB" w:rsidRPr="008555BD" w:rsidRDefault="00BA20FB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DB79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2834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2120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проектов, получивших финансовую поддержку из сре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аевого бюджета</w:t>
            </w:r>
          </w:p>
        </w:tc>
        <w:tc>
          <w:tcPr>
            <w:tcW w:w="813" w:type="dxa"/>
          </w:tcPr>
          <w:p w:rsidR="00BA20FB" w:rsidRPr="008555BD" w:rsidRDefault="00BA20FB" w:rsidP="00DB79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4" w:type="dxa"/>
          </w:tcPr>
          <w:p w:rsidR="00BA20FB" w:rsidRPr="008555BD" w:rsidRDefault="00BA20FB" w:rsidP="00DB79C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3" w:type="dxa"/>
          </w:tcPr>
          <w:p w:rsidR="00BA20FB" w:rsidRPr="008555BD" w:rsidRDefault="00BA20FB" w:rsidP="00DB79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459" w:type="dxa"/>
            <w:gridSpan w:val="11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Задача: Привлечение населения Находкинского городского округа к активному участию в решении проблем местного значения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общественно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значимых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общественно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значимых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реализованных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проектов, инициируемых жителями Находкинского городского округа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общественностью управления внешних коммуникаций администрации НГО,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проектов, инициируемых жителями Находкинского городского округа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 значимых инициатив: доля жителей НГО, вовлеченных в активное участие в выявлении и определении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степени приоритетности проблем местного значения</w:t>
            </w:r>
            <w:proofErr w:type="gramEnd"/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по обеспечению деятельности ОМС 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212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проектов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инициативного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проектов </w:t>
            </w: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инициативного</w:t>
            </w:r>
            <w:proofErr w:type="gramEnd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НГО,</w:t>
            </w:r>
          </w:p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проектов инициативного бюджетирования по направлению "Молодежный бюджет"</w:t>
            </w:r>
            <w:proofErr w:type="gramEnd"/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" w:type="dxa"/>
          </w:tcPr>
          <w:p w:rsidR="00BA20FB" w:rsidRPr="008555BD" w:rsidRDefault="00BA20FB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8555BD" w:rsidRPr="008555BD" w:rsidRDefault="008555BD" w:rsidP="008555B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sectPr w:rsidR="008555BD" w:rsidRPr="008555BD">
      <w:pgSz w:w="16839" w:h="11906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BD"/>
    <w:rsid w:val="00176989"/>
    <w:rsid w:val="00464133"/>
    <w:rsid w:val="00637B8C"/>
    <w:rsid w:val="007A1356"/>
    <w:rsid w:val="008555BD"/>
    <w:rsid w:val="00977AB8"/>
    <w:rsid w:val="009831BA"/>
    <w:rsid w:val="00992136"/>
    <w:rsid w:val="009D3820"/>
    <w:rsid w:val="00BA20FB"/>
    <w:rsid w:val="00CD5390"/>
    <w:rsid w:val="00DE0439"/>
    <w:rsid w:val="00F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B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55BD"/>
    <w:pPr>
      <w:spacing w:before="100" w:beforeAutospacing="1" w:after="100" w:afterAutospacing="1"/>
    </w:pPr>
  </w:style>
  <w:style w:type="paragraph" w:customStyle="1" w:styleId="ConsPlusNormal">
    <w:name w:val="ConsPlusNormal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B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55BD"/>
    <w:pPr>
      <w:spacing w:before="100" w:beforeAutospacing="1" w:after="100" w:afterAutospacing="1"/>
    </w:pPr>
  </w:style>
  <w:style w:type="paragraph" w:customStyle="1" w:styleId="ConsPlusNormal">
    <w:name w:val="ConsPlusNormal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5.rosstat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32</Pages>
  <Words>5650</Words>
  <Characters>32210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OUstinova</cp:lastModifiedBy>
  <cp:revision>1</cp:revision>
  <dcterms:created xsi:type="dcterms:W3CDTF">2025-04-10T04:38:00Z</dcterms:created>
  <dcterms:modified xsi:type="dcterms:W3CDTF">2025-04-10T05:59:00Z</dcterms:modified>
</cp:coreProperties>
</file>